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0A109" w14:textId="7D155895" w:rsidR="00CD2D4C" w:rsidRPr="001B7FAD" w:rsidRDefault="00AB136B">
      <w:pPr>
        <w:rPr>
          <w:rFonts w:cstheme="minorHAnsi"/>
          <w:b/>
          <w:bCs/>
          <w:sz w:val="24"/>
          <w:szCs w:val="24"/>
        </w:rPr>
      </w:pPr>
      <w:r w:rsidRPr="001B7FAD">
        <w:rPr>
          <w:rFonts w:cstheme="minorHAnsi"/>
          <w:b/>
          <w:bCs/>
          <w:sz w:val="24"/>
          <w:szCs w:val="24"/>
        </w:rPr>
        <w:t>Publication Charges:  Open Access Publishing Fund &amp; Indexing Costs</w:t>
      </w:r>
    </w:p>
    <w:p w14:paraId="1013BD9B" w14:textId="52C94845" w:rsidR="00AB136B" w:rsidRPr="001B7FAD" w:rsidRDefault="00AB136B">
      <w:pPr>
        <w:rPr>
          <w:rFonts w:cstheme="minorHAnsi"/>
          <w:sz w:val="24"/>
          <w:szCs w:val="24"/>
        </w:rPr>
      </w:pPr>
      <w:r w:rsidRPr="001B7FAD">
        <w:rPr>
          <w:rFonts w:cstheme="minorHAnsi"/>
          <w:sz w:val="24"/>
          <w:szCs w:val="24"/>
        </w:rPr>
        <w:t>CLASS is accepting applications for funding to support Open Access Publishing Funds and indexing costs for CLASS faculty authors.  Please note that the U of I Library also offers Open Access Publishing Funds</w:t>
      </w:r>
      <w:r w:rsidR="006D53EC">
        <w:rPr>
          <w:rFonts w:cstheme="minorHAnsi"/>
          <w:sz w:val="24"/>
          <w:szCs w:val="24"/>
        </w:rPr>
        <w:t>,</w:t>
      </w:r>
      <w:r w:rsidRPr="001B7FAD">
        <w:rPr>
          <w:rFonts w:cstheme="minorHAnsi"/>
          <w:sz w:val="24"/>
          <w:szCs w:val="24"/>
        </w:rPr>
        <w:t xml:space="preserve"> and faculty should first apply there </w:t>
      </w:r>
      <w:r w:rsidR="006D53EC">
        <w:rPr>
          <w:rFonts w:cstheme="minorHAnsi"/>
          <w:sz w:val="24"/>
          <w:szCs w:val="24"/>
        </w:rPr>
        <w:t>before</w:t>
      </w:r>
      <w:r w:rsidRPr="001B7FAD">
        <w:rPr>
          <w:rFonts w:cstheme="minorHAnsi"/>
          <w:sz w:val="24"/>
          <w:szCs w:val="24"/>
        </w:rPr>
        <w:t xml:space="preserve"> pursuing this funding source.  </w:t>
      </w:r>
    </w:p>
    <w:p w14:paraId="003ADC89" w14:textId="22823784" w:rsidR="00AB136B" w:rsidRPr="001B7FAD" w:rsidRDefault="00AB136B">
      <w:pPr>
        <w:rPr>
          <w:rFonts w:cstheme="minorHAnsi"/>
          <w:sz w:val="24"/>
          <w:szCs w:val="24"/>
        </w:rPr>
      </w:pPr>
      <w:r w:rsidRPr="001B7FAD">
        <w:rPr>
          <w:rFonts w:cstheme="minorHAnsi"/>
          <w:sz w:val="24"/>
          <w:szCs w:val="24"/>
        </w:rPr>
        <w:t>Funding Period #1—Articles accepted for publication and books under contract</w:t>
      </w:r>
      <w:r w:rsidR="006D53EC">
        <w:rPr>
          <w:rFonts w:cstheme="minorHAnsi"/>
          <w:sz w:val="24"/>
          <w:szCs w:val="24"/>
        </w:rPr>
        <w:t xml:space="preserve"> and</w:t>
      </w:r>
      <w:r w:rsidRPr="001B7FAD">
        <w:rPr>
          <w:rFonts w:cstheme="minorHAnsi"/>
          <w:sz w:val="24"/>
          <w:szCs w:val="24"/>
        </w:rPr>
        <w:t xml:space="preserve"> ready for indexing between </w:t>
      </w:r>
      <w:r w:rsidR="006D53EC">
        <w:rPr>
          <w:rFonts w:cstheme="minorHAnsi"/>
          <w:sz w:val="24"/>
          <w:szCs w:val="24"/>
        </w:rPr>
        <w:t>June 15</w:t>
      </w:r>
      <w:r w:rsidRPr="001B7FAD">
        <w:rPr>
          <w:rFonts w:cstheme="minorHAnsi"/>
          <w:sz w:val="24"/>
          <w:szCs w:val="24"/>
        </w:rPr>
        <w:t xml:space="preserve"> and December 31.</w:t>
      </w:r>
    </w:p>
    <w:p w14:paraId="7FBF8766" w14:textId="5909275C" w:rsidR="00AB136B" w:rsidRPr="001B7FAD" w:rsidRDefault="00AB136B" w:rsidP="00AB136B">
      <w:pPr>
        <w:rPr>
          <w:rFonts w:cstheme="minorHAnsi"/>
          <w:sz w:val="24"/>
          <w:szCs w:val="24"/>
        </w:rPr>
      </w:pPr>
      <w:r w:rsidRPr="001B7FAD">
        <w:rPr>
          <w:rFonts w:cstheme="minorHAnsi"/>
          <w:sz w:val="24"/>
          <w:szCs w:val="24"/>
        </w:rPr>
        <w:t xml:space="preserve">Funding Period #2—Articles accepted for publication and books under contract and ready for indexing between January 1 and June </w:t>
      </w:r>
      <w:r w:rsidR="006D53EC">
        <w:rPr>
          <w:rFonts w:cstheme="minorHAnsi"/>
          <w:sz w:val="24"/>
          <w:szCs w:val="24"/>
        </w:rPr>
        <w:t>15</w:t>
      </w:r>
      <w:r w:rsidRPr="001B7FAD">
        <w:rPr>
          <w:rFonts w:cstheme="minorHAnsi"/>
          <w:sz w:val="24"/>
          <w:szCs w:val="24"/>
        </w:rPr>
        <w:t>.</w:t>
      </w:r>
    </w:p>
    <w:p w14:paraId="36F43BD9" w14:textId="78989525" w:rsidR="00AB136B" w:rsidRPr="001B7FAD" w:rsidRDefault="00B25505" w:rsidP="735A273A">
      <w:pPr>
        <w:rPr>
          <w:color w:val="111111"/>
          <w:sz w:val="24"/>
          <w:szCs w:val="24"/>
          <w:shd w:val="clear" w:color="auto" w:fill="FDFDFD"/>
        </w:rPr>
      </w:pPr>
      <w:r w:rsidRPr="735A273A">
        <w:rPr>
          <w:color w:val="111111"/>
          <w:sz w:val="24"/>
          <w:szCs w:val="24"/>
          <w:shd w:val="clear" w:color="auto" w:fill="FDFDFD"/>
        </w:rPr>
        <w:t xml:space="preserve">CLASS faculty </w:t>
      </w:r>
      <w:r w:rsidR="00AB136B" w:rsidRPr="735A273A">
        <w:rPr>
          <w:color w:val="111111"/>
          <w:sz w:val="24"/>
          <w:szCs w:val="24"/>
          <w:shd w:val="clear" w:color="auto" w:fill="FDFDFD"/>
        </w:rPr>
        <w:t>authors may apply for funding no more than once per funding period. Applications are accepted on a first</w:t>
      </w:r>
      <w:r w:rsidR="2FCDB5F6" w:rsidRPr="735A273A">
        <w:rPr>
          <w:color w:val="111111"/>
          <w:sz w:val="24"/>
          <w:szCs w:val="24"/>
          <w:shd w:val="clear" w:color="auto" w:fill="FDFDFD"/>
        </w:rPr>
        <w:t>-come, first-</w:t>
      </w:r>
      <w:r w:rsidR="00AB136B" w:rsidRPr="735A273A">
        <w:rPr>
          <w:color w:val="111111"/>
          <w:sz w:val="24"/>
          <w:szCs w:val="24"/>
          <w:shd w:val="clear" w:color="auto" w:fill="FDFDFD"/>
        </w:rPr>
        <w:t>serve</w:t>
      </w:r>
      <w:r w:rsidR="67D42439" w:rsidRPr="735A273A">
        <w:rPr>
          <w:color w:val="111111"/>
          <w:sz w:val="24"/>
          <w:szCs w:val="24"/>
          <w:shd w:val="clear" w:color="auto" w:fill="FDFDFD"/>
        </w:rPr>
        <w:t>d</w:t>
      </w:r>
      <w:r w:rsidR="00AB136B" w:rsidRPr="735A273A">
        <w:rPr>
          <w:color w:val="111111"/>
          <w:sz w:val="24"/>
          <w:szCs w:val="24"/>
          <w:shd w:val="clear" w:color="auto" w:fill="FDFDFD"/>
        </w:rPr>
        <w:t xml:space="preserve"> basis during each funding period until funds are exhausted </w:t>
      </w:r>
      <w:r w:rsidR="450E225A" w:rsidRPr="735A273A">
        <w:rPr>
          <w:color w:val="111111"/>
          <w:sz w:val="24"/>
          <w:szCs w:val="24"/>
          <w:shd w:val="clear" w:color="auto" w:fill="FDFDFD"/>
        </w:rPr>
        <w:t>or at</w:t>
      </w:r>
      <w:r w:rsidR="00AB136B" w:rsidRPr="735A273A">
        <w:rPr>
          <w:color w:val="111111"/>
          <w:sz w:val="24"/>
          <w:szCs w:val="24"/>
          <w:shd w:val="clear" w:color="auto" w:fill="FDFDFD"/>
        </w:rPr>
        <w:t xml:space="preserve"> the end of the funding period.</w:t>
      </w:r>
      <w:r w:rsidRPr="735A273A">
        <w:rPr>
          <w:color w:val="111111"/>
          <w:sz w:val="24"/>
          <w:szCs w:val="24"/>
          <w:shd w:val="clear" w:color="auto" w:fill="FDFDFD"/>
        </w:rPr>
        <w:t xml:space="preserve"> Priority will be given to those who have not yet received funding. </w:t>
      </w:r>
    </w:p>
    <w:p w14:paraId="4F7727B5" w14:textId="293B2ABD" w:rsidR="00B25505" w:rsidRPr="001B7FAD" w:rsidRDefault="00B25505" w:rsidP="00AB136B">
      <w:pPr>
        <w:rPr>
          <w:rFonts w:cstheme="minorHAnsi"/>
          <w:color w:val="111111"/>
          <w:sz w:val="24"/>
          <w:szCs w:val="24"/>
          <w:shd w:val="clear" w:color="auto" w:fill="FDFDFD"/>
        </w:rPr>
      </w:pPr>
    </w:p>
    <w:p w14:paraId="5DE36249" w14:textId="0DFC3ADE" w:rsidR="00B25505" w:rsidRPr="001B7FAD" w:rsidRDefault="00B25505" w:rsidP="00AB136B">
      <w:pPr>
        <w:rPr>
          <w:rFonts w:cstheme="minorHAnsi"/>
          <w:b/>
          <w:bCs/>
          <w:color w:val="111111"/>
          <w:sz w:val="24"/>
          <w:szCs w:val="24"/>
          <w:shd w:val="clear" w:color="auto" w:fill="FDFDFD"/>
        </w:rPr>
      </w:pPr>
      <w:r w:rsidRPr="001B7FAD">
        <w:rPr>
          <w:rFonts w:cstheme="minorHAnsi"/>
          <w:b/>
          <w:bCs/>
          <w:color w:val="111111"/>
          <w:sz w:val="24"/>
          <w:szCs w:val="24"/>
          <w:shd w:val="clear" w:color="auto" w:fill="FDFDFD"/>
        </w:rPr>
        <w:t>Eligibility</w:t>
      </w:r>
    </w:p>
    <w:p w14:paraId="5695D529" w14:textId="11E51A81" w:rsidR="00B25505" w:rsidRPr="001B7FAD" w:rsidRDefault="00B25505" w:rsidP="00B255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4"/>
          <w:szCs w:val="24"/>
        </w:rPr>
      </w:pPr>
      <w:r w:rsidRPr="001B7FAD">
        <w:rPr>
          <w:rFonts w:cstheme="minorHAnsi"/>
          <w:color w:val="111111"/>
          <w:sz w:val="24"/>
          <w:szCs w:val="24"/>
          <w:shd w:val="clear" w:color="auto" w:fill="FDFDFD"/>
        </w:rPr>
        <w:t xml:space="preserve"> </w:t>
      </w:r>
      <w:r w:rsidR="001B7FAD">
        <w:rPr>
          <w:rFonts w:cstheme="minorHAnsi"/>
          <w:color w:val="111111"/>
          <w:sz w:val="24"/>
          <w:szCs w:val="24"/>
          <w:shd w:val="clear" w:color="auto" w:fill="FDFDFD"/>
        </w:rPr>
        <w:t>Articles or Books m</w:t>
      </w:r>
      <w:r w:rsidRPr="001B7FAD">
        <w:rPr>
          <w:rFonts w:eastAsia="Times New Roman" w:cstheme="minorHAnsi"/>
          <w:color w:val="111111"/>
          <w:sz w:val="24"/>
          <w:szCs w:val="24"/>
        </w:rPr>
        <w:t xml:space="preserve">ust be accepted for publication before submitting an OAPF or indexing </w:t>
      </w:r>
      <w:r w:rsidR="006D53EC" w:rsidRPr="001B7FAD">
        <w:rPr>
          <w:rFonts w:eastAsia="Times New Roman" w:cstheme="minorHAnsi"/>
          <w:color w:val="111111"/>
          <w:sz w:val="24"/>
          <w:szCs w:val="24"/>
        </w:rPr>
        <w:t>application.</w:t>
      </w:r>
    </w:p>
    <w:p w14:paraId="6A452FF2" w14:textId="50CBED13" w:rsidR="006D53EC" w:rsidRDefault="00B25505" w:rsidP="00F736E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4"/>
          <w:szCs w:val="24"/>
        </w:rPr>
      </w:pPr>
      <w:r w:rsidRPr="006D53EC">
        <w:rPr>
          <w:rFonts w:eastAsia="Times New Roman" w:cstheme="minorHAnsi"/>
          <w:color w:val="111111"/>
          <w:sz w:val="24"/>
          <w:szCs w:val="24"/>
        </w:rPr>
        <w:t>To qualify for Funding Period #1</w:t>
      </w:r>
      <w:r w:rsidR="006D53EC">
        <w:rPr>
          <w:rFonts w:eastAsia="Times New Roman" w:cstheme="minorHAnsi"/>
          <w:color w:val="111111"/>
          <w:sz w:val="24"/>
          <w:szCs w:val="24"/>
        </w:rPr>
        <w:t>,</w:t>
      </w:r>
      <w:r w:rsidRPr="006D53EC">
        <w:rPr>
          <w:rFonts w:eastAsia="Times New Roman" w:cstheme="minorHAnsi"/>
          <w:color w:val="111111"/>
          <w:sz w:val="24"/>
          <w:szCs w:val="24"/>
        </w:rPr>
        <w:t xml:space="preserve"> Official invoices and receipts or indexing quotes must have issue dates and payment dates between </w:t>
      </w:r>
      <w:r w:rsidR="006D53EC" w:rsidRPr="006D53EC">
        <w:rPr>
          <w:rFonts w:eastAsia="Times New Roman" w:cstheme="minorHAnsi"/>
          <w:color w:val="111111"/>
          <w:sz w:val="24"/>
          <w:szCs w:val="24"/>
        </w:rPr>
        <w:t>June 15</w:t>
      </w:r>
      <w:r w:rsidRPr="006D53EC">
        <w:rPr>
          <w:rFonts w:eastAsia="Times New Roman" w:cstheme="minorHAnsi"/>
          <w:color w:val="111111"/>
          <w:sz w:val="24"/>
          <w:szCs w:val="24"/>
        </w:rPr>
        <w:t xml:space="preserve"> and December 31</w:t>
      </w:r>
      <w:r w:rsidR="006D53EC">
        <w:rPr>
          <w:rFonts w:eastAsia="Times New Roman" w:cstheme="minorHAnsi"/>
          <w:color w:val="111111"/>
          <w:sz w:val="24"/>
          <w:szCs w:val="24"/>
        </w:rPr>
        <w:t>.</w:t>
      </w:r>
    </w:p>
    <w:p w14:paraId="143C2F41" w14:textId="7B8EB9AC" w:rsidR="006D53EC" w:rsidRPr="006D53EC" w:rsidRDefault="00B25505" w:rsidP="006D53E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4"/>
          <w:szCs w:val="24"/>
        </w:rPr>
      </w:pPr>
      <w:r w:rsidRPr="006D53EC">
        <w:rPr>
          <w:rFonts w:eastAsia="Times New Roman" w:cstheme="minorHAnsi"/>
          <w:color w:val="111111"/>
          <w:sz w:val="24"/>
          <w:szCs w:val="24"/>
        </w:rPr>
        <w:t>To qualify for Funding Period #2</w:t>
      </w:r>
      <w:r w:rsidR="006D53EC">
        <w:rPr>
          <w:rFonts w:eastAsia="Times New Roman" w:cstheme="minorHAnsi"/>
          <w:color w:val="111111"/>
          <w:sz w:val="24"/>
          <w:szCs w:val="24"/>
        </w:rPr>
        <w:t>,</w:t>
      </w:r>
      <w:r w:rsidRPr="006D53EC">
        <w:rPr>
          <w:rFonts w:eastAsia="Times New Roman" w:cstheme="minorHAnsi"/>
          <w:color w:val="111111"/>
          <w:sz w:val="24"/>
          <w:szCs w:val="24"/>
        </w:rPr>
        <w:t xml:space="preserve"> Official invoices and receipts or indexing quotes must have issue dates and payment dates between January 1, 2022, and June 15</w:t>
      </w:r>
      <w:r w:rsidR="006D53EC">
        <w:rPr>
          <w:rFonts w:eastAsia="Times New Roman" w:cstheme="minorHAnsi"/>
          <w:color w:val="111111"/>
          <w:sz w:val="24"/>
          <w:szCs w:val="24"/>
        </w:rPr>
        <w:t>.</w:t>
      </w:r>
    </w:p>
    <w:p w14:paraId="0297FFF3" w14:textId="5AA85741" w:rsidR="00B25505" w:rsidRPr="001B7FAD" w:rsidRDefault="00B25505" w:rsidP="00B255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4"/>
          <w:szCs w:val="24"/>
        </w:rPr>
      </w:pPr>
      <w:r w:rsidRPr="00B25505">
        <w:rPr>
          <w:rFonts w:eastAsia="Times New Roman" w:cstheme="minorHAnsi"/>
          <w:color w:val="111111"/>
          <w:sz w:val="24"/>
          <w:szCs w:val="24"/>
        </w:rPr>
        <w:t>Funding per article</w:t>
      </w:r>
      <w:r w:rsidRPr="001B7FAD">
        <w:rPr>
          <w:rFonts w:eastAsia="Times New Roman" w:cstheme="minorHAnsi"/>
          <w:color w:val="111111"/>
          <w:sz w:val="24"/>
          <w:szCs w:val="24"/>
        </w:rPr>
        <w:t>/index</w:t>
      </w:r>
      <w:r w:rsidRPr="00B25505">
        <w:rPr>
          <w:rFonts w:eastAsia="Times New Roman" w:cstheme="minorHAnsi"/>
          <w:color w:val="111111"/>
          <w:sz w:val="24"/>
          <w:szCs w:val="24"/>
        </w:rPr>
        <w:t xml:space="preserve"> is capped at $</w:t>
      </w:r>
      <w:r w:rsidRPr="001B7FAD">
        <w:rPr>
          <w:rFonts w:eastAsia="Times New Roman" w:cstheme="minorHAnsi"/>
          <w:color w:val="111111"/>
          <w:sz w:val="24"/>
          <w:szCs w:val="24"/>
        </w:rPr>
        <w:t>600</w:t>
      </w:r>
      <w:r w:rsidRPr="00B25505">
        <w:rPr>
          <w:rFonts w:eastAsia="Times New Roman" w:cstheme="minorHAnsi"/>
          <w:color w:val="111111"/>
          <w:sz w:val="24"/>
          <w:szCs w:val="24"/>
        </w:rPr>
        <w:t>.00</w:t>
      </w:r>
      <w:r w:rsidRPr="001B7FAD">
        <w:rPr>
          <w:rFonts w:eastAsia="Times New Roman" w:cstheme="minorHAnsi"/>
          <w:color w:val="111111"/>
          <w:sz w:val="24"/>
          <w:szCs w:val="24"/>
        </w:rPr>
        <w:t xml:space="preserve">. </w:t>
      </w:r>
    </w:p>
    <w:p w14:paraId="471174F7" w14:textId="7A54427C" w:rsidR="00B25505" w:rsidRDefault="00B25505" w:rsidP="00B255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4"/>
          <w:szCs w:val="24"/>
        </w:rPr>
      </w:pPr>
      <w:r w:rsidRPr="001B7FAD">
        <w:rPr>
          <w:rFonts w:eastAsia="Times New Roman" w:cstheme="minorHAnsi"/>
          <w:color w:val="111111"/>
          <w:sz w:val="24"/>
          <w:szCs w:val="24"/>
        </w:rPr>
        <w:t>Department matching funds are strongly encouraged.</w:t>
      </w:r>
    </w:p>
    <w:p w14:paraId="0D87764D" w14:textId="13F9AA17" w:rsidR="001B7FAD" w:rsidRPr="00B25505" w:rsidRDefault="001B7FAD" w:rsidP="46656161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b/>
          <w:bCs/>
          <w:color w:val="111111"/>
          <w:sz w:val="24"/>
          <w:szCs w:val="24"/>
        </w:rPr>
      </w:pPr>
      <w:r w:rsidRPr="46656161">
        <w:rPr>
          <w:rFonts w:eastAsia="Times New Roman"/>
          <w:b/>
          <w:bCs/>
          <w:color w:val="111111"/>
          <w:sz w:val="24"/>
          <w:szCs w:val="24"/>
        </w:rPr>
        <w:t>Books</w:t>
      </w:r>
      <w:r w:rsidR="22CEEBE3" w:rsidRPr="46656161">
        <w:rPr>
          <w:rFonts w:eastAsia="Times New Roman"/>
          <w:b/>
          <w:bCs/>
          <w:color w:val="111111"/>
          <w:sz w:val="24"/>
          <w:szCs w:val="24"/>
        </w:rPr>
        <w:t>—</w:t>
      </w:r>
      <w:r w:rsidRPr="46656161">
        <w:rPr>
          <w:rFonts w:eastAsia="Times New Roman"/>
          <w:b/>
          <w:bCs/>
          <w:color w:val="111111"/>
          <w:sz w:val="24"/>
          <w:szCs w:val="24"/>
        </w:rPr>
        <w:t>Indexing</w:t>
      </w:r>
    </w:p>
    <w:p w14:paraId="228F8F75" w14:textId="111AAFF2" w:rsidR="52155099" w:rsidRDefault="52155099" w:rsidP="46656161">
      <w:pPr>
        <w:numPr>
          <w:ilvl w:val="0"/>
          <w:numId w:val="2"/>
        </w:numPr>
        <w:spacing w:beforeAutospacing="1" w:afterAutospacing="1" w:line="240" w:lineRule="auto"/>
        <w:rPr>
          <w:rFonts w:eastAsiaTheme="minorEastAsia"/>
          <w:color w:val="111111"/>
          <w:sz w:val="24"/>
          <w:szCs w:val="24"/>
        </w:rPr>
      </w:pPr>
      <w:r w:rsidRPr="46656161">
        <w:rPr>
          <w:rFonts w:eastAsia="Times New Roman"/>
          <w:color w:val="111111"/>
          <w:sz w:val="24"/>
          <w:szCs w:val="24"/>
        </w:rPr>
        <w:t xml:space="preserve">Book must be in </w:t>
      </w:r>
      <w:r w:rsidR="006D53EC">
        <w:rPr>
          <w:rFonts w:eastAsia="Times New Roman"/>
          <w:color w:val="111111"/>
          <w:sz w:val="24"/>
          <w:szCs w:val="24"/>
        </w:rPr>
        <w:t xml:space="preserve">the </w:t>
      </w:r>
      <w:r w:rsidRPr="46656161">
        <w:rPr>
          <w:rFonts w:eastAsia="Times New Roman"/>
          <w:color w:val="111111"/>
          <w:sz w:val="24"/>
          <w:szCs w:val="24"/>
        </w:rPr>
        <w:t xml:space="preserve">final stages of </w:t>
      </w:r>
      <w:r w:rsidR="006D53EC" w:rsidRPr="46656161">
        <w:rPr>
          <w:rFonts w:eastAsia="Times New Roman"/>
          <w:color w:val="111111"/>
          <w:sz w:val="24"/>
          <w:szCs w:val="24"/>
        </w:rPr>
        <w:t>publication.</w:t>
      </w:r>
    </w:p>
    <w:p w14:paraId="23F5B5D3" w14:textId="74C123F6" w:rsidR="52155099" w:rsidRDefault="006D53EC" w:rsidP="46656161">
      <w:pPr>
        <w:numPr>
          <w:ilvl w:val="0"/>
          <w:numId w:val="2"/>
        </w:numPr>
        <w:spacing w:beforeAutospacing="1" w:afterAutospacing="1" w:line="240" w:lineRule="auto"/>
        <w:rPr>
          <w:rFonts w:eastAsiaTheme="minorEastAsia"/>
          <w:color w:val="111111"/>
          <w:sz w:val="24"/>
          <w:szCs w:val="24"/>
        </w:rPr>
      </w:pPr>
      <w:r>
        <w:rPr>
          <w:rFonts w:eastAsia="Times New Roman"/>
          <w:color w:val="111111"/>
          <w:sz w:val="24"/>
          <w:szCs w:val="24"/>
        </w:rPr>
        <w:t>The indexing vendor should be from the publisher-recommended</w:t>
      </w:r>
      <w:r w:rsidR="52155099" w:rsidRPr="46656161">
        <w:rPr>
          <w:rFonts w:eastAsia="Times New Roman"/>
          <w:color w:val="111111"/>
          <w:sz w:val="24"/>
          <w:szCs w:val="24"/>
        </w:rPr>
        <w:t xml:space="preserve"> </w:t>
      </w:r>
      <w:r w:rsidRPr="46656161">
        <w:rPr>
          <w:rFonts w:eastAsia="Times New Roman"/>
          <w:color w:val="111111"/>
          <w:sz w:val="24"/>
          <w:szCs w:val="24"/>
        </w:rPr>
        <w:t>list.</w:t>
      </w:r>
    </w:p>
    <w:p w14:paraId="680D9D37" w14:textId="77777777" w:rsidR="00B25505" w:rsidRPr="00B25505" w:rsidRDefault="00B25505" w:rsidP="00B25505">
      <w:pPr>
        <w:shd w:val="clear" w:color="auto" w:fill="FFFFFF"/>
        <w:spacing w:after="100" w:afterAutospacing="1" w:line="240" w:lineRule="auto"/>
        <w:outlineLvl w:val="4"/>
        <w:rPr>
          <w:rFonts w:eastAsia="Times New Roman" w:cstheme="minorHAnsi"/>
          <w:b/>
          <w:bCs/>
          <w:color w:val="111111"/>
          <w:sz w:val="24"/>
          <w:szCs w:val="24"/>
        </w:rPr>
      </w:pPr>
      <w:r w:rsidRPr="00B25505">
        <w:rPr>
          <w:rFonts w:eastAsia="Times New Roman" w:cstheme="minorHAnsi"/>
          <w:b/>
          <w:bCs/>
          <w:color w:val="111111"/>
          <w:sz w:val="24"/>
          <w:szCs w:val="24"/>
        </w:rPr>
        <w:t>Journals</w:t>
      </w:r>
    </w:p>
    <w:p w14:paraId="6D55436F" w14:textId="77777777" w:rsidR="00B25505" w:rsidRPr="00B25505" w:rsidRDefault="00B25505" w:rsidP="466561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111111"/>
          <w:sz w:val="24"/>
          <w:szCs w:val="24"/>
        </w:rPr>
      </w:pPr>
      <w:r w:rsidRPr="46656161">
        <w:rPr>
          <w:rFonts w:eastAsia="Times New Roman"/>
          <w:color w:val="111111"/>
          <w:sz w:val="24"/>
          <w:szCs w:val="24"/>
        </w:rPr>
        <w:t>Must be listed in the </w:t>
      </w:r>
      <w:hyperlink r:id="rId5">
        <w:r w:rsidRPr="46656161">
          <w:rPr>
            <w:rFonts w:eastAsia="Times New Roman"/>
            <w:b/>
            <w:bCs/>
            <w:color w:val="191919"/>
            <w:sz w:val="24"/>
            <w:szCs w:val="24"/>
            <w:u w:val="single"/>
          </w:rPr>
          <w:t>Directory of Open Access Journals</w:t>
        </w:r>
      </w:hyperlink>
      <w:r w:rsidRPr="46656161">
        <w:rPr>
          <w:rFonts w:eastAsia="Times New Roman"/>
          <w:color w:val="111111"/>
          <w:sz w:val="24"/>
          <w:szCs w:val="24"/>
        </w:rPr>
        <w:t> (DOAJ)</w:t>
      </w:r>
    </w:p>
    <w:p w14:paraId="7B08EE36" w14:textId="0099388A" w:rsidR="00B25505" w:rsidRPr="00B25505" w:rsidRDefault="00B25505" w:rsidP="466561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111111"/>
          <w:sz w:val="24"/>
          <w:szCs w:val="24"/>
        </w:rPr>
      </w:pPr>
      <w:r w:rsidRPr="46656161">
        <w:rPr>
          <w:rFonts w:eastAsia="Times New Roman"/>
          <w:color w:val="111111"/>
          <w:sz w:val="24"/>
          <w:szCs w:val="24"/>
        </w:rPr>
        <w:t>Must utilize peer-</w:t>
      </w:r>
      <w:r w:rsidR="006D53EC" w:rsidRPr="46656161">
        <w:rPr>
          <w:rFonts w:eastAsia="Times New Roman"/>
          <w:color w:val="111111"/>
          <w:sz w:val="24"/>
          <w:szCs w:val="24"/>
        </w:rPr>
        <w:t>review.</w:t>
      </w:r>
    </w:p>
    <w:p w14:paraId="20A7753F" w14:textId="48B11B90" w:rsidR="00B25505" w:rsidRPr="00B25505" w:rsidRDefault="00B25505" w:rsidP="466561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111111"/>
          <w:sz w:val="24"/>
          <w:szCs w:val="24"/>
        </w:rPr>
      </w:pPr>
      <w:r w:rsidRPr="46656161">
        <w:rPr>
          <w:rFonts w:eastAsia="Times New Roman"/>
          <w:color w:val="111111"/>
          <w:sz w:val="24"/>
          <w:szCs w:val="24"/>
        </w:rPr>
        <w:t xml:space="preserve">Must make articles fully open upon </w:t>
      </w:r>
      <w:r w:rsidR="006D53EC" w:rsidRPr="46656161">
        <w:rPr>
          <w:rFonts w:eastAsia="Times New Roman"/>
          <w:color w:val="111111"/>
          <w:sz w:val="24"/>
          <w:szCs w:val="24"/>
        </w:rPr>
        <w:t>publication.</w:t>
      </w:r>
    </w:p>
    <w:p w14:paraId="5349AD74" w14:textId="77777777" w:rsidR="00B25505" w:rsidRPr="00B25505" w:rsidRDefault="00B25505" w:rsidP="00B25505">
      <w:pPr>
        <w:shd w:val="clear" w:color="auto" w:fill="FFFFFF"/>
        <w:spacing w:after="100" w:afterAutospacing="1" w:line="240" w:lineRule="auto"/>
        <w:outlineLvl w:val="4"/>
        <w:rPr>
          <w:rFonts w:eastAsia="Times New Roman" w:cstheme="minorHAnsi"/>
          <w:b/>
          <w:bCs/>
          <w:color w:val="111111"/>
          <w:sz w:val="24"/>
          <w:szCs w:val="24"/>
        </w:rPr>
      </w:pPr>
      <w:r w:rsidRPr="00B25505">
        <w:rPr>
          <w:rFonts w:eastAsia="Times New Roman" w:cstheme="minorHAnsi"/>
          <w:b/>
          <w:bCs/>
          <w:color w:val="111111"/>
          <w:sz w:val="24"/>
          <w:szCs w:val="24"/>
        </w:rPr>
        <w:t>Journal Publishers</w:t>
      </w:r>
    </w:p>
    <w:p w14:paraId="4C90247D" w14:textId="51E3E703" w:rsidR="00B25505" w:rsidRPr="001B7FAD" w:rsidRDefault="00B25505" w:rsidP="00B255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4"/>
          <w:szCs w:val="24"/>
        </w:rPr>
      </w:pPr>
      <w:r w:rsidRPr="00B25505">
        <w:rPr>
          <w:rFonts w:eastAsia="Times New Roman" w:cstheme="minorHAnsi"/>
          <w:color w:val="111111"/>
          <w:sz w:val="24"/>
          <w:szCs w:val="24"/>
        </w:rPr>
        <w:t>Must be members of, or comply with, the </w:t>
      </w:r>
      <w:hyperlink r:id="rId6" w:history="1">
        <w:r w:rsidRPr="00B25505">
          <w:rPr>
            <w:rFonts w:eastAsia="Times New Roman" w:cstheme="minorHAnsi"/>
            <w:b/>
            <w:bCs/>
            <w:color w:val="191919"/>
            <w:sz w:val="24"/>
            <w:szCs w:val="24"/>
            <w:u w:val="single"/>
          </w:rPr>
          <w:t>Open Access Scholarly Publishing Association</w:t>
        </w:r>
      </w:hyperlink>
      <w:r w:rsidRPr="00B25505">
        <w:rPr>
          <w:rFonts w:eastAsia="Times New Roman" w:cstheme="minorHAnsi"/>
          <w:color w:val="111111"/>
          <w:sz w:val="24"/>
          <w:szCs w:val="24"/>
        </w:rPr>
        <w:t> (OASPA)</w:t>
      </w:r>
    </w:p>
    <w:p w14:paraId="2F2231DC" w14:textId="4DDFA19C" w:rsidR="00B25505" w:rsidRPr="001B7FAD" w:rsidRDefault="00B25505" w:rsidP="00B2550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4"/>
          <w:szCs w:val="24"/>
        </w:rPr>
      </w:pPr>
    </w:p>
    <w:p w14:paraId="50D4B816" w14:textId="77777777" w:rsidR="00B25505" w:rsidRPr="00B25505" w:rsidRDefault="00B25505" w:rsidP="00B25505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111111"/>
          <w:sz w:val="24"/>
          <w:szCs w:val="24"/>
        </w:rPr>
      </w:pPr>
      <w:r w:rsidRPr="00B25505">
        <w:rPr>
          <w:rFonts w:eastAsia="Times New Roman" w:cstheme="minorHAnsi"/>
          <w:color w:val="111111"/>
          <w:sz w:val="24"/>
          <w:szCs w:val="24"/>
        </w:rPr>
        <w:t>We use DOAJ and OASPA membership criteria to verify that publishers and journals adhere to responsible, sustainable, and non-exploitative publishing behavior.</w:t>
      </w:r>
    </w:p>
    <w:p w14:paraId="66A391E2" w14:textId="4B51F13D" w:rsidR="00B25505" w:rsidRPr="00B25505" w:rsidRDefault="00B25505" w:rsidP="00B25505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111111"/>
          <w:sz w:val="24"/>
          <w:szCs w:val="24"/>
        </w:rPr>
      </w:pPr>
      <w:r w:rsidRPr="00B25505">
        <w:rPr>
          <w:rFonts w:eastAsia="Times New Roman" w:cstheme="minorHAnsi"/>
          <w:color w:val="111111"/>
          <w:sz w:val="24"/>
          <w:szCs w:val="24"/>
        </w:rPr>
        <w:t xml:space="preserve">Please note that “hybrid journals,” </w:t>
      </w:r>
      <w:r w:rsidR="006D53EC">
        <w:rPr>
          <w:rFonts w:eastAsia="Times New Roman" w:cstheme="minorHAnsi"/>
          <w:color w:val="111111"/>
          <w:sz w:val="24"/>
          <w:szCs w:val="24"/>
        </w:rPr>
        <w:t xml:space="preserve">that charge subscription fees to readers but offer authors the option to pay an article processing charge (APC) to publish their article open access, will be considered </w:t>
      </w:r>
      <w:r w:rsidRPr="001B7FAD">
        <w:rPr>
          <w:rFonts w:eastAsia="Times New Roman" w:cstheme="minorHAnsi"/>
          <w:color w:val="111111"/>
          <w:sz w:val="24"/>
          <w:szCs w:val="24"/>
        </w:rPr>
        <w:t>a low priority</w:t>
      </w:r>
      <w:r w:rsidRPr="00B25505">
        <w:rPr>
          <w:rFonts w:eastAsia="Times New Roman" w:cstheme="minorHAnsi"/>
          <w:color w:val="111111"/>
          <w:sz w:val="24"/>
          <w:szCs w:val="24"/>
        </w:rPr>
        <w:t>.</w:t>
      </w:r>
    </w:p>
    <w:p w14:paraId="2C208BD4" w14:textId="417E22E3" w:rsidR="00B25505" w:rsidRPr="00B25505" w:rsidRDefault="00B25505" w:rsidP="00B25505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111111"/>
          <w:sz w:val="24"/>
          <w:szCs w:val="24"/>
        </w:rPr>
      </w:pPr>
      <w:r w:rsidRPr="00B25505">
        <w:rPr>
          <w:rFonts w:eastAsia="Times New Roman" w:cstheme="minorHAnsi"/>
          <w:color w:val="111111"/>
          <w:sz w:val="24"/>
          <w:szCs w:val="24"/>
        </w:rPr>
        <w:t xml:space="preserve">Open access membership fees, such as </w:t>
      </w:r>
      <w:proofErr w:type="spellStart"/>
      <w:r w:rsidRPr="00B25505">
        <w:rPr>
          <w:rFonts w:eastAsia="Times New Roman" w:cstheme="minorHAnsi"/>
          <w:color w:val="111111"/>
          <w:sz w:val="24"/>
          <w:szCs w:val="24"/>
        </w:rPr>
        <w:t>PeerJ</w:t>
      </w:r>
      <w:proofErr w:type="spellEnd"/>
      <w:r w:rsidRPr="00B25505">
        <w:rPr>
          <w:rFonts w:eastAsia="Times New Roman" w:cstheme="minorHAnsi"/>
          <w:color w:val="111111"/>
          <w:sz w:val="24"/>
          <w:szCs w:val="24"/>
        </w:rPr>
        <w:t xml:space="preserve"> Memberships, will be considered </w:t>
      </w:r>
      <w:r w:rsidR="006D53EC">
        <w:rPr>
          <w:rFonts w:eastAsia="Times New Roman" w:cstheme="minorHAnsi"/>
          <w:color w:val="111111"/>
          <w:sz w:val="24"/>
          <w:szCs w:val="24"/>
        </w:rPr>
        <w:t>case-by-case</w:t>
      </w:r>
      <w:r w:rsidRPr="00B25505">
        <w:rPr>
          <w:rFonts w:eastAsia="Times New Roman" w:cstheme="minorHAnsi"/>
          <w:color w:val="111111"/>
          <w:sz w:val="24"/>
          <w:szCs w:val="24"/>
        </w:rPr>
        <w:t xml:space="preserve"> if other eligibility requirements are met.</w:t>
      </w:r>
    </w:p>
    <w:p w14:paraId="0BA0951E" w14:textId="2A8558EC" w:rsidR="00B25505" w:rsidRPr="001B7FAD" w:rsidRDefault="00B25505" w:rsidP="00AB136B">
      <w:pPr>
        <w:rPr>
          <w:rFonts w:cstheme="minorHAnsi"/>
          <w:sz w:val="24"/>
          <w:szCs w:val="24"/>
        </w:rPr>
      </w:pPr>
    </w:p>
    <w:p w14:paraId="58B111FA" w14:textId="52EC78A5" w:rsidR="00B25505" w:rsidRPr="001B7FAD" w:rsidRDefault="00B25505" w:rsidP="00AB136B">
      <w:pPr>
        <w:rPr>
          <w:rFonts w:cstheme="minorHAnsi"/>
          <w:b/>
          <w:bCs/>
          <w:sz w:val="24"/>
          <w:szCs w:val="24"/>
        </w:rPr>
      </w:pPr>
      <w:r w:rsidRPr="001B7FAD">
        <w:rPr>
          <w:rFonts w:cstheme="minorHAnsi"/>
          <w:b/>
          <w:bCs/>
          <w:sz w:val="24"/>
          <w:szCs w:val="24"/>
        </w:rPr>
        <w:t>Author Eligibility</w:t>
      </w:r>
    </w:p>
    <w:p w14:paraId="2CA47F42" w14:textId="566E6E2F" w:rsidR="00B25505" w:rsidRPr="00B25505" w:rsidRDefault="00B25505" w:rsidP="00B255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4"/>
          <w:szCs w:val="24"/>
        </w:rPr>
      </w:pPr>
      <w:r w:rsidRPr="00B25505">
        <w:rPr>
          <w:rFonts w:eastAsia="Times New Roman" w:cstheme="minorHAnsi"/>
          <w:color w:val="111111"/>
          <w:sz w:val="24"/>
          <w:szCs w:val="24"/>
        </w:rPr>
        <w:t xml:space="preserve">Current </w:t>
      </w:r>
      <w:r w:rsidRPr="001B7FAD">
        <w:rPr>
          <w:rFonts w:eastAsia="Times New Roman" w:cstheme="minorHAnsi"/>
          <w:color w:val="111111"/>
          <w:sz w:val="24"/>
          <w:szCs w:val="24"/>
        </w:rPr>
        <w:t>CLASS</w:t>
      </w:r>
      <w:r w:rsidRPr="00B25505">
        <w:rPr>
          <w:rFonts w:eastAsia="Times New Roman" w:cstheme="minorHAnsi"/>
          <w:color w:val="111111"/>
          <w:sz w:val="24"/>
          <w:szCs w:val="24"/>
        </w:rPr>
        <w:t xml:space="preserve"> faculty are eligible to apply for </w:t>
      </w:r>
      <w:r w:rsidRPr="001B7FAD">
        <w:rPr>
          <w:rFonts w:eastAsia="Times New Roman" w:cstheme="minorHAnsi"/>
          <w:color w:val="111111"/>
          <w:sz w:val="24"/>
          <w:szCs w:val="24"/>
        </w:rPr>
        <w:t>these funds.</w:t>
      </w:r>
    </w:p>
    <w:p w14:paraId="3DB2E503" w14:textId="0333D3AF" w:rsidR="00B25505" w:rsidRPr="00B25505" w:rsidRDefault="00B25505" w:rsidP="00B255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4"/>
          <w:szCs w:val="24"/>
        </w:rPr>
      </w:pPr>
      <w:r w:rsidRPr="001B7FAD">
        <w:rPr>
          <w:rFonts w:eastAsia="Times New Roman" w:cstheme="minorHAnsi"/>
          <w:color w:val="111111"/>
          <w:sz w:val="24"/>
          <w:szCs w:val="24"/>
        </w:rPr>
        <w:t xml:space="preserve">A maximum of 1 application will be </w:t>
      </w:r>
      <w:r w:rsidR="001B7FAD" w:rsidRPr="001B7FAD">
        <w:rPr>
          <w:rFonts w:eastAsia="Times New Roman" w:cstheme="minorHAnsi"/>
          <w:color w:val="111111"/>
          <w:sz w:val="24"/>
          <w:szCs w:val="24"/>
        </w:rPr>
        <w:t>funded</w:t>
      </w:r>
      <w:r w:rsidRPr="001B7FAD">
        <w:rPr>
          <w:rFonts w:eastAsia="Times New Roman" w:cstheme="minorHAnsi"/>
          <w:color w:val="111111"/>
          <w:sz w:val="24"/>
          <w:szCs w:val="24"/>
        </w:rPr>
        <w:t xml:space="preserve"> per author per funding period.  </w:t>
      </w:r>
    </w:p>
    <w:p w14:paraId="13087C5C" w14:textId="1F0D456B" w:rsidR="00B25505" w:rsidRPr="001B7FAD" w:rsidRDefault="00B25505" w:rsidP="00B255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4"/>
          <w:szCs w:val="24"/>
        </w:rPr>
      </w:pPr>
      <w:r w:rsidRPr="00B25505">
        <w:rPr>
          <w:rFonts w:eastAsia="Times New Roman" w:cstheme="minorHAnsi"/>
          <w:color w:val="111111"/>
          <w:sz w:val="24"/>
          <w:szCs w:val="24"/>
        </w:rPr>
        <w:t>Authors may apply for funding multiple times</w:t>
      </w:r>
      <w:r w:rsidR="006D53EC">
        <w:rPr>
          <w:rFonts w:eastAsia="Times New Roman" w:cstheme="minorHAnsi"/>
          <w:color w:val="111111"/>
          <w:sz w:val="24"/>
          <w:szCs w:val="24"/>
        </w:rPr>
        <w:t>,</w:t>
      </w:r>
      <w:r w:rsidRPr="00B25505">
        <w:rPr>
          <w:rFonts w:eastAsia="Times New Roman" w:cstheme="minorHAnsi"/>
          <w:color w:val="111111"/>
          <w:sz w:val="24"/>
          <w:szCs w:val="24"/>
        </w:rPr>
        <w:t xml:space="preserve"> </w:t>
      </w:r>
      <w:r w:rsidRPr="001B7FAD">
        <w:rPr>
          <w:rFonts w:eastAsia="Times New Roman" w:cstheme="minorHAnsi"/>
          <w:color w:val="111111"/>
          <w:sz w:val="24"/>
          <w:szCs w:val="24"/>
        </w:rPr>
        <w:t xml:space="preserve">though priority will be given </w:t>
      </w:r>
      <w:r w:rsidR="001B7FAD" w:rsidRPr="001B7FAD">
        <w:rPr>
          <w:rFonts w:eastAsia="Times New Roman" w:cstheme="minorHAnsi"/>
          <w:color w:val="111111"/>
          <w:sz w:val="24"/>
          <w:szCs w:val="24"/>
        </w:rPr>
        <w:t xml:space="preserve">to authors who have not previously received funding. </w:t>
      </w:r>
    </w:p>
    <w:p w14:paraId="23B9A2E8" w14:textId="3278324F" w:rsidR="001B7FAD" w:rsidRPr="001B7FAD" w:rsidRDefault="001B7FAD" w:rsidP="001B7FA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111111"/>
          <w:sz w:val="24"/>
          <w:szCs w:val="24"/>
        </w:rPr>
      </w:pPr>
      <w:r w:rsidRPr="001B7FAD">
        <w:rPr>
          <w:rFonts w:eastAsia="Times New Roman" w:cstheme="minorHAnsi"/>
          <w:b/>
          <w:bCs/>
          <w:color w:val="111111"/>
          <w:sz w:val="24"/>
          <w:szCs w:val="24"/>
        </w:rPr>
        <w:t>Department Match</w:t>
      </w:r>
    </w:p>
    <w:p w14:paraId="482ED85D" w14:textId="641BBAFB" w:rsidR="001B7FAD" w:rsidRPr="00B25505" w:rsidRDefault="001B7FAD" w:rsidP="001B7FA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4"/>
          <w:szCs w:val="24"/>
        </w:rPr>
      </w:pPr>
      <w:r w:rsidRPr="001B7FAD">
        <w:rPr>
          <w:rFonts w:eastAsia="Times New Roman" w:cstheme="minorHAnsi"/>
          <w:color w:val="111111"/>
          <w:sz w:val="24"/>
          <w:szCs w:val="24"/>
        </w:rPr>
        <w:t xml:space="preserve">Applications with </w:t>
      </w:r>
      <w:r w:rsidR="006D53EC">
        <w:rPr>
          <w:rFonts w:eastAsia="Times New Roman" w:cstheme="minorHAnsi"/>
          <w:color w:val="111111"/>
          <w:sz w:val="24"/>
          <w:szCs w:val="24"/>
        </w:rPr>
        <w:t xml:space="preserve">department-matching funds will be given the </w:t>
      </w:r>
      <w:r w:rsidRPr="001B7FAD">
        <w:rPr>
          <w:rFonts w:eastAsia="Times New Roman" w:cstheme="minorHAnsi"/>
          <w:color w:val="111111"/>
          <w:sz w:val="24"/>
          <w:szCs w:val="24"/>
        </w:rPr>
        <w:t xml:space="preserve">highest priority for funding. </w:t>
      </w:r>
    </w:p>
    <w:p w14:paraId="4E13D54E" w14:textId="77777777" w:rsidR="00B25505" w:rsidRPr="00B25505" w:rsidRDefault="00B25505" w:rsidP="00B25505">
      <w:pPr>
        <w:shd w:val="clear" w:color="auto" w:fill="FFFFFF"/>
        <w:spacing w:after="100" w:afterAutospacing="1" w:line="240" w:lineRule="auto"/>
        <w:outlineLvl w:val="4"/>
        <w:rPr>
          <w:rFonts w:eastAsia="Times New Roman" w:cstheme="minorHAnsi"/>
          <w:b/>
          <w:bCs/>
          <w:color w:val="111111"/>
          <w:sz w:val="24"/>
          <w:szCs w:val="24"/>
        </w:rPr>
      </w:pPr>
      <w:r w:rsidRPr="00B25505">
        <w:rPr>
          <w:rFonts w:eastAsia="Times New Roman" w:cstheme="minorHAnsi"/>
          <w:b/>
          <w:bCs/>
          <w:color w:val="111111"/>
          <w:sz w:val="24"/>
          <w:szCs w:val="24"/>
        </w:rPr>
        <w:t>External Funding</w:t>
      </w:r>
    </w:p>
    <w:p w14:paraId="69EAF13E" w14:textId="1D7DE31C" w:rsidR="00B25505" w:rsidRPr="00B25505" w:rsidRDefault="00B25505" w:rsidP="46656161">
      <w:pPr>
        <w:shd w:val="clear" w:color="auto" w:fill="FFFFFF" w:themeFill="background1"/>
        <w:spacing w:after="100" w:afterAutospacing="1" w:line="240" w:lineRule="auto"/>
        <w:rPr>
          <w:rFonts w:eastAsia="Times New Roman"/>
          <w:color w:val="111111"/>
          <w:sz w:val="24"/>
          <w:szCs w:val="24"/>
        </w:rPr>
      </w:pPr>
      <w:r w:rsidRPr="46656161">
        <w:rPr>
          <w:rFonts w:eastAsia="Times New Roman"/>
          <w:color w:val="111111"/>
          <w:sz w:val="24"/>
          <w:szCs w:val="24"/>
        </w:rPr>
        <w:t>Priority will be given to applications without other sources of funding available.</w:t>
      </w:r>
    </w:p>
    <w:p w14:paraId="7535C48B" w14:textId="7D9242E4" w:rsidR="00B25505" w:rsidRPr="001B7FAD" w:rsidRDefault="00B25505" w:rsidP="00B25505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111111"/>
          <w:sz w:val="24"/>
          <w:szCs w:val="24"/>
        </w:rPr>
      </w:pPr>
      <w:r w:rsidRPr="00B25505">
        <w:rPr>
          <w:rFonts w:eastAsia="Times New Roman" w:cstheme="minorHAnsi"/>
          <w:color w:val="111111"/>
          <w:sz w:val="24"/>
          <w:szCs w:val="24"/>
        </w:rPr>
        <w:t xml:space="preserve">We strongly encourage researchers to request funding for </w:t>
      </w:r>
      <w:r w:rsidR="006D53EC">
        <w:rPr>
          <w:rFonts w:eastAsia="Times New Roman" w:cstheme="minorHAnsi"/>
          <w:color w:val="111111"/>
          <w:sz w:val="24"/>
          <w:szCs w:val="24"/>
        </w:rPr>
        <w:t>open-access</w:t>
      </w:r>
      <w:r w:rsidRPr="00B25505">
        <w:rPr>
          <w:rFonts w:eastAsia="Times New Roman" w:cstheme="minorHAnsi"/>
          <w:color w:val="111111"/>
          <w:sz w:val="24"/>
          <w:szCs w:val="24"/>
        </w:rPr>
        <w:t xml:space="preserve"> publications from their funding agency if they can do so. Authors with sufficient funding from grants or contracts are encouraged to use those funds to allow others to </w:t>
      </w:r>
      <w:r w:rsidR="006D53EC">
        <w:rPr>
          <w:rFonts w:eastAsia="Times New Roman" w:cstheme="minorHAnsi"/>
          <w:color w:val="111111"/>
          <w:sz w:val="24"/>
          <w:szCs w:val="24"/>
        </w:rPr>
        <w:t>benefit from</w:t>
      </w:r>
      <w:r w:rsidRPr="00B25505">
        <w:rPr>
          <w:rFonts w:eastAsia="Times New Roman" w:cstheme="minorHAnsi"/>
          <w:color w:val="111111"/>
          <w:sz w:val="24"/>
          <w:szCs w:val="24"/>
        </w:rPr>
        <w:t xml:space="preserve"> open publications.</w:t>
      </w:r>
    </w:p>
    <w:p w14:paraId="58D15202" w14:textId="2DA2E270" w:rsidR="001B7FAD" w:rsidRPr="001B7FAD" w:rsidRDefault="001B7FAD" w:rsidP="001B7FAD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111111"/>
          <w:sz w:val="24"/>
          <w:szCs w:val="24"/>
        </w:rPr>
      </w:pPr>
      <w:r w:rsidRPr="001B7FAD">
        <w:rPr>
          <w:rFonts w:eastAsia="Times New Roman" w:cstheme="minorHAnsi"/>
          <w:b/>
          <w:bCs/>
          <w:color w:val="111111"/>
          <w:sz w:val="24"/>
          <w:szCs w:val="24"/>
        </w:rPr>
        <w:t>Articles</w:t>
      </w:r>
    </w:p>
    <w:p w14:paraId="5451BDFF" w14:textId="497C142C" w:rsidR="001B7FAD" w:rsidRPr="001B7FAD" w:rsidRDefault="001B7FAD" w:rsidP="001B7FA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111111"/>
          <w:sz w:val="24"/>
          <w:szCs w:val="24"/>
        </w:rPr>
      </w:pPr>
      <w:r w:rsidRPr="46656161">
        <w:rPr>
          <w:rFonts w:eastAsia="Times New Roman"/>
          <w:color w:val="111111"/>
          <w:sz w:val="24"/>
          <w:szCs w:val="24"/>
        </w:rPr>
        <w:t>Funded authors must include the following statement in their article’s acknowledgments section: “</w:t>
      </w:r>
      <w:r w:rsidR="006D53EC">
        <w:rPr>
          <w:rFonts w:eastAsia="Times New Roman"/>
          <w:color w:val="111111"/>
          <w:sz w:val="24"/>
          <w:szCs w:val="24"/>
        </w:rPr>
        <w:t>The CLASS funded publication of this article</w:t>
      </w:r>
      <w:r w:rsidRPr="46656161">
        <w:rPr>
          <w:rFonts w:eastAsia="Times New Roman"/>
          <w:color w:val="111111"/>
          <w:sz w:val="24"/>
          <w:szCs w:val="24"/>
        </w:rPr>
        <w:t xml:space="preserve"> - Open Access Publishing Fund.”</w:t>
      </w:r>
    </w:p>
    <w:p w14:paraId="624825C1" w14:textId="381EC9E8" w:rsidR="001B7FAD" w:rsidRPr="001B7FAD" w:rsidRDefault="001B7FAD" w:rsidP="735A273A">
      <w:pPr>
        <w:rPr>
          <w:sz w:val="24"/>
          <w:szCs w:val="24"/>
        </w:rPr>
      </w:pPr>
    </w:p>
    <w:p w14:paraId="720C2BF0" w14:textId="77E34BFE" w:rsidR="735A273A" w:rsidRDefault="735A273A" w:rsidP="735A273A">
      <w:pPr>
        <w:rPr>
          <w:sz w:val="24"/>
          <w:szCs w:val="24"/>
        </w:rPr>
      </w:pPr>
    </w:p>
    <w:p w14:paraId="1A3271DE" w14:textId="2AEC2F87" w:rsidR="366B347A" w:rsidRDefault="366B347A" w:rsidP="735A273A">
      <w:pPr>
        <w:rPr>
          <w:b/>
          <w:bCs/>
          <w:sz w:val="24"/>
          <w:szCs w:val="24"/>
        </w:rPr>
      </w:pPr>
      <w:r w:rsidRPr="735A273A">
        <w:rPr>
          <w:b/>
          <w:bCs/>
          <w:sz w:val="24"/>
          <w:szCs w:val="24"/>
        </w:rPr>
        <w:t>To Apply</w:t>
      </w:r>
      <w:r w:rsidR="37F67FD6" w:rsidRPr="735A273A">
        <w:rPr>
          <w:b/>
          <w:bCs/>
          <w:sz w:val="24"/>
          <w:szCs w:val="24"/>
        </w:rPr>
        <w:t>:</w:t>
      </w:r>
      <w:r w:rsidR="006D53EC">
        <w:rPr>
          <w:b/>
          <w:bCs/>
          <w:sz w:val="24"/>
          <w:szCs w:val="24"/>
        </w:rPr>
        <w:t xml:space="preserve"> Complete the application at this </w:t>
      </w:r>
      <w:proofErr w:type="gramStart"/>
      <w:r w:rsidR="006D53EC">
        <w:rPr>
          <w:b/>
          <w:bCs/>
          <w:sz w:val="24"/>
          <w:szCs w:val="24"/>
        </w:rPr>
        <w:t>link</w:t>
      </w:r>
      <w:proofErr w:type="gramEnd"/>
    </w:p>
    <w:p w14:paraId="68C29152" w14:textId="3B793E5C" w:rsidR="366B347A" w:rsidRDefault="006D53EC" w:rsidP="006D53EC">
      <w:pPr>
        <w:rPr>
          <w:sz w:val="24"/>
          <w:szCs w:val="24"/>
        </w:rPr>
      </w:pPr>
      <w:hyperlink r:id="rId7" w:history="1">
        <w:r w:rsidRPr="006D53EC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https://uidaho.co1.qualtrics.com/jfe/form/SV_4VLbtOYjngy4Vls</w:t>
        </w:r>
      </w:hyperlink>
    </w:p>
    <w:sectPr w:rsidR="366B3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C3221"/>
    <w:multiLevelType w:val="multilevel"/>
    <w:tmpl w:val="A0DA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3606A2"/>
    <w:multiLevelType w:val="multilevel"/>
    <w:tmpl w:val="4A16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712999"/>
    <w:multiLevelType w:val="hybridMultilevel"/>
    <w:tmpl w:val="00C28AD0"/>
    <w:lvl w:ilvl="0" w:tplc="B9B4CF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A27E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FCDA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94E37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247E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48A3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DFEB2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E24CE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6F455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BF72B9"/>
    <w:multiLevelType w:val="multilevel"/>
    <w:tmpl w:val="0420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4940048">
    <w:abstractNumId w:val="0"/>
  </w:num>
  <w:num w:numId="2" w16cid:durableId="860166364">
    <w:abstractNumId w:val="2"/>
  </w:num>
  <w:num w:numId="3" w16cid:durableId="935212070">
    <w:abstractNumId w:val="3"/>
  </w:num>
  <w:num w:numId="4" w16cid:durableId="1032344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6B"/>
    <w:rsid w:val="001B7FAD"/>
    <w:rsid w:val="006D53EC"/>
    <w:rsid w:val="00A18339"/>
    <w:rsid w:val="00AB136B"/>
    <w:rsid w:val="00B25505"/>
    <w:rsid w:val="00CD2D4C"/>
    <w:rsid w:val="00FE6085"/>
    <w:rsid w:val="023D539A"/>
    <w:rsid w:val="03D923FB"/>
    <w:rsid w:val="09986A8B"/>
    <w:rsid w:val="0A2F3D22"/>
    <w:rsid w:val="0ADDA041"/>
    <w:rsid w:val="0EBFF7A7"/>
    <w:rsid w:val="167EDB19"/>
    <w:rsid w:val="1A13DF0A"/>
    <w:rsid w:val="1B524C3C"/>
    <w:rsid w:val="22CEEBE3"/>
    <w:rsid w:val="23C21D7B"/>
    <w:rsid w:val="285EFF03"/>
    <w:rsid w:val="2B147863"/>
    <w:rsid w:val="2FCDB5F6"/>
    <w:rsid w:val="32B24C20"/>
    <w:rsid w:val="339A8CEC"/>
    <w:rsid w:val="366B347A"/>
    <w:rsid w:val="37F67FD6"/>
    <w:rsid w:val="38F00BC2"/>
    <w:rsid w:val="3A606DA9"/>
    <w:rsid w:val="3C400609"/>
    <w:rsid w:val="450E225A"/>
    <w:rsid w:val="45D224AB"/>
    <w:rsid w:val="46656161"/>
    <w:rsid w:val="4DF9E7BA"/>
    <w:rsid w:val="52155099"/>
    <w:rsid w:val="5787A1A3"/>
    <w:rsid w:val="5FEFA3E4"/>
    <w:rsid w:val="63EDF7B8"/>
    <w:rsid w:val="6441976E"/>
    <w:rsid w:val="67D42439"/>
    <w:rsid w:val="735A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DA01D"/>
  <w15:chartTrackingRefBased/>
  <w15:docId w15:val="{1180C9E7-032C-4A13-8ADC-5CFA9A52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255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2550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2550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5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D5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idaho.co1.qualtrics.com/jfe/form/SV_4VLbtOYjngy4V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aspa.org/membership/members/" TargetMode="External"/><Relationship Id="rId5" Type="http://schemas.openxmlformats.org/officeDocument/2006/relationships/hyperlink" Target="https://doaj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3045</Characters>
  <Application>Microsoft Office Word</Application>
  <DocSecurity>0</DocSecurity>
  <Lines>64</Lines>
  <Paragraphs>44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Traci (tcraig@uidaho.edu)</dc:creator>
  <cp:keywords/>
  <dc:description/>
  <cp:lastModifiedBy>Craig, Traci (tcraig@uidaho.edu)</cp:lastModifiedBy>
  <cp:revision>2</cp:revision>
  <dcterms:created xsi:type="dcterms:W3CDTF">2024-01-03T17:50:00Z</dcterms:created>
  <dcterms:modified xsi:type="dcterms:W3CDTF">2024-01-03T17:50:00Z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44276118998132a4050267acf02cda0e3ce8c169378dcf6e2f86d65b2117efba</vt:lpwstr>
  </property>
</Properties>
</file>