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F6" w:rsidRDefault="007750F6" w:rsidP="007750F6">
      <w:pPr>
        <w:pStyle w:val="Heading1"/>
        <w:rPr>
          <w:b w:val="0"/>
          <w:sz w:val="22"/>
          <w:szCs w:val="22"/>
        </w:rPr>
      </w:pPr>
      <w:bookmarkStart w:id="0" w:name="_GoBack"/>
      <w:bookmarkEnd w:id="0"/>
      <w:r w:rsidRPr="00381263">
        <w:rPr>
          <w:b w:val="0"/>
          <w:sz w:val="22"/>
          <w:szCs w:val="22"/>
        </w:rPr>
        <w:t>In order to recruit qualified employees, UI will reimburse newly hired employee’s actual and reasonable moving expenses as a condition of s</w:t>
      </w:r>
      <w:r>
        <w:rPr>
          <w:b w:val="0"/>
          <w:sz w:val="22"/>
          <w:szCs w:val="22"/>
        </w:rPr>
        <w:t>ecuring his or her employment.</w:t>
      </w:r>
    </w:p>
    <w:p w:rsidR="007750F6" w:rsidRPr="007750F6" w:rsidRDefault="007750F6" w:rsidP="007750F6">
      <w:pPr>
        <w:pStyle w:val="Heading1"/>
        <w:spacing w:before="120" w:after="120"/>
        <w:rPr>
          <w:b w:val="0"/>
          <w:sz w:val="22"/>
          <w:szCs w:val="22"/>
        </w:rPr>
      </w:pPr>
      <w:r w:rsidRPr="00381263">
        <w:rPr>
          <w:b w:val="0"/>
          <w:sz w:val="22"/>
          <w:szCs w:val="22"/>
        </w:rPr>
        <w:t xml:space="preserve">In addition, UI will reimburse actual and reasonable moving expenses </w:t>
      </w:r>
      <w:r>
        <w:rPr>
          <w:b w:val="0"/>
          <w:sz w:val="22"/>
          <w:szCs w:val="22"/>
        </w:rPr>
        <w:t>for</w:t>
      </w:r>
      <w:r w:rsidRPr="00381263">
        <w:rPr>
          <w:b w:val="0"/>
          <w:sz w:val="22"/>
          <w:szCs w:val="22"/>
        </w:rPr>
        <w:t xml:space="preserve"> current employee</w:t>
      </w:r>
      <w:r>
        <w:rPr>
          <w:b w:val="0"/>
          <w:sz w:val="22"/>
          <w:szCs w:val="22"/>
        </w:rPr>
        <w:t>s</w:t>
      </w:r>
      <w:r w:rsidRPr="00381263">
        <w:rPr>
          <w:b w:val="0"/>
          <w:sz w:val="22"/>
          <w:szCs w:val="22"/>
        </w:rPr>
        <w:t xml:space="preserve"> </w:t>
      </w:r>
      <w:r>
        <w:rPr>
          <w:b w:val="0"/>
          <w:sz w:val="22"/>
          <w:szCs w:val="22"/>
        </w:rPr>
        <w:t xml:space="preserve">who </w:t>
      </w:r>
      <w:proofErr w:type="gramStart"/>
      <w:r>
        <w:rPr>
          <w:b w:val="0"/>
          <w:sz w:val="22"/>
          <w:szCs w:val="22"/>
        </w:rPr>
        <w:t>are</w:t>
      </w:r>
      <w:r w:rsidRPr="00381263">
        <w:rPr>
          <w:b w:val="0"/>
          <w:sz w:val="22"/>
          <w:szCs w:val="22"/>
        </w:rPr>
        <w:t xml:space="preserve"> </w:t>
      </w:r>
      <w:r>
        <w:rPr>
          <w:b w:val="0"/>
          <w:sz w:val="22"/>
          <w:szCs w:val="22"/>
        </w:rPr>
        <w:t>relocated</w:t>
      </w:r>
      <w:proofErr w:type="gramEnd"/>
      <w:r w:rsidRPr="00381263">
        <w:rPr>
          <w:b w:val="0"/>
          <w:sz w:val="22"/>
          <w:szCs w:val="22"/>
        </w:rPr>
        <w:t xml:space="preserve"> fro</w:t>
      </w:r>
      <w:r>
        <w:rPr>
          <w:b w:val="0"/>
          <w:sz w:val="22"/>
          <w:szCs w:val="22"/>
        </w:rPr>
        <w:t>m</w:t>
      </w:r>
      <w:r w:rsidRPr="00381263">
        <w:rPr>
          <w:b w:val="0"/>
          <w:sz w:val="22"/>
          <w:szCs w:val="22"/>
        </w:rPr>
        <w:t xml:space="preserve"> on</w:t>
      </w:r>
      <w:r>
        <w:rPr>
          <w:b w:val="0"/>
          <w:sz w:val="22"/>
          <w:szCs w:val="22"/>
        </w:rPr>
        <w:t>e</w:t>
      </w:r>
      <w:r w:rsidRPr="00381263">
        <w:rPr>
          <w:b w:val="0"/>
          <w:sz w:val="22"/>
          <w:szCs w:val="22"/>
        </w:rPr>
        <w:t xml:space="preserve"> official station to another within the state for the </w:t>
      </w:r>
      <w:r>
        <w:rPr>
          <w:b w:val="0"/>
          <w:sz w:val="22"/>
          <w:szCs w:val="22"/>
        </w:rPr>
        <w:t>b</w:t>
      </w:r>
      <w:r w:rsidRPr="00381263">
        <w:rPr>
          <w:b w:val="0"/>
          <w:sz w:val="22"/>
          <w:szCs w:val="22"/>
        </w:rPr>
        <w:t>enefit and convenience of the University.</w:t>
      </w:r>
      <w:r>
        <w:t xml:space="preserve"> </w:t>
      </w:r>
    </w:p>
    <w:p w:rsidR="00995949" w:rsidRDefault="005C2F04" w:rsidP="00995949">
      <w:pPr>
        <w:spacing w:after="120" w:line="240" w:lineRule="auto"/>
        <w:rPr>
          <w:sz w:val="20"/>
          <w:szCs w:val="20"/>
        </w:rPr>
      </w:pPr>
      <w:hyperlink r:id="rId7" w:history="1">
        <w:r w:rsidR="007750F6" w:rsidRPr="00A66468">
          <w:rPr>
            <w:rStyle w:val="Hyperlink"/>
            <w:sz w:val="20"/>
            <w:szCs w:val="20"/>
          </w:rPr>
          <w:t>http://www.sco.idaho.gov/web/sbe/sbeweb.nsf/displayview?ReadForm&amp;L1=Board+of+Examiners&amp;L2=Policies+and+Procedures</w:t>
        </w:r>
      </w:hyperlink>
      <w:r w:rsidR="007750F6">
        <w:rPr>
          <w:sz w:val="20"/>
          <w:szCs w:val="20"/>
        </w:rPr>
        <w:t xml:space="preserve"> </w:t>
      </w:r>
    </w:p>
    <w:p w:rsidR="00995949" w:rsidRPr="00381263" w:rsidRDefault="00995949" w:rsidP="00995949">
      <w:pPr>
        <w:spacing w:after="0" w:line="240" w:lineRule="auto"/>
        <w:rPr>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7750F6" w:rsidRPr="007750F6" w:rsidTr="007750F6">
        <w:tc>
          <w:tcPr>
            <w:tcW w:w="10440" w:type="dxa"/>
          </w:tcPr>
          <w:p w:rsidR="007750F6" w:rsidRDefault="007750F6" w:rsidP="005226A5">
            <w:pPr>
              <w:pStyle w:val="Heading3"/>
              <w:spacing w:before="120" w:after="240"/>
              <w:outlineLvl w:val="2"/>
            </w:pPr>
            <w:r>
              <w:t>Logging Into the UI Moving Expense Program</w:t>
            </w:r>
          </w:p>
          <w:p w:rsidR="007750F6" w:rsidRDefault="007750F6">
            <w:r>
              <w:t>To login in to Employee Moving Expenses, login to Vandal Web and select Employees &gt; Financial Tasks – Employee Moving Expenses.</w:t>
            </w:r>
          </w:p>
          <w:p w:rsidR="007750F6" w:rsidRDefault="007750F6"/>
          <w:p w:rsidR="007750F6" w:rsidRDefault="007750F6">
            <w:r w:rsidRPr="00365C9F">
              <w:rPr>
                <w:noProof/>
              </w:rPr>
              <w:drawing>
                <wp:inline distT="0" distB="0" distL="0" distR="0" wp14:anchorId="345A632B" wp14:editId="0A9B2E88">
                  <wp:extent cx="2905125" cy="3000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3000375"/>
                          </a:xfrm>
                          <a:prstGeom prst="rect">
                            <a:avLst/>
                          </a:prstGeom>
                          <a:noFill/>
                          <a:ln>
                            <a:noFill/>
                          </a:ln>
                        </pic:spPr>
                      </pic:pic>
                    </a:graphicData>
                  </a:graphic>
                </wp:inline>
              </w:drawing>
            </w:r>
          </w:p>
          <w:p w:rsidR="007750F6" w:rsidRPr="007750F6" w:rsidRDefault="007750F6"/>
        </w:tc>
      </w:tr>
      <w:tr w:rsidR="007750F6" w:rsidRPr="007750F6" w:rsidTr="007750F6">
        <w:tc>
          <w:tcPr>
            <w:tcW w:w="10440" w:type="dxa"/>
            <w:vAlign w:val="center"/>
          </w:tcPr>
          <w:p w:rsidR="005226A5" w:rsidRPr="005226A5" w:rsidRDefault="005226A5" w:rsidP="005226A5">
            <w:pPr>
              <w:spacing w:before="120" w:after="240"/>
              <w:rPr>
                <w:rFonts w:ascii="Arial" w:hAnsi="Arial" w:cs="Arial"/>
                <w:b/>
                <w:noProof/>
                <w:sz w:val="26"/>
                <w:szCs w:val="26"/>
              </w:rPr>
            </w:pPr>
            <w:r w:rsidRPr="005226A5">
              <w:rPr>
                <w:rFonts w:ascii="Arial" w:hAnsi="Arial" w:cs="Arial"/>
                <w:b/>
                <w:noProof/>
                <w:sz w:val="26"/>
                <w:szCs w:val="26"/>
              </w:rPr>
              <w:t>Creating the New Move Record</w:t>
            </w:r>
          </w:p>
          <w:p w:rsidR="005226A5" w:rsidRPr="005226A5" w:rsidRDefault="005226A5" w:rsidP="005226A5">
            <w:pPr>
              <w:spacing w:before="120" w:after="240"/>
              <w:rPr>
                <w:rFonts w:ascii="Arial" w:hAnsi="Arial" w:cs="Arial"/>
                <w:b/>
                <w:noProof/>
                <w:u w:val="single"/>
              </w:rPr>
            </w:pPr>
            <w:r w:rsidRPr="005226A5">
              <w:rPr>
                <w:rFonts w:ascii="Arial" w:hAnsi="Arial" w:cs="Arial"/>
                <w:b/>
                <w:noProof/>
                <w:u w:val="single"/>
              </w:rPr>
              <w:t>To qualify for moving reimbursements:</w:t>
            </w:r>
          </w:p>
          <w:p w:rsidR="005226A5" w:rsidRDefault="005226A5" w:rsidP="005226A5">
            <w:pPr>
              <w:pStyle w:val="ListParagraph"/>
              <w:numPr>
                <w:ilvl w:val="0"/>
                <w:numId w:val="2"/>
              </w:numPr>
              <w:spacing w:before="120" w:after="120"/>
              <w:rPr>
                <w:rFonts w:ascii="Arial" w:hAnsi="Arial" w:cs="Arial"/>
                <w:noProof/>
              </w:rPr>
            </w:pPr>
            <w:r w:rsidRPr="005226A5">
              <w:rPr>
                <w:rFonts w:ascii="Arial" w:hAnsi="Arial" w:cs="Arial"/>
                <w:noProof/>
              </w:rPr>
              <w:t>All moves must meet the IRS Distance Test: the commuting distance must have increased by at least 50 miles one way.</w:t>
            </w:r>
          </w:p>
          <w:p w:rsidR="005226A5" w:rsidRPr="005226A5" w:rsidRDefault="005226A5" w:rsidP="005226A5">
            <w:pPr>
              <w:pStyle w:val="ListParagraph"/>
              <w:spacing w:before="120" w:after="120"/>
              <w:rPr>
                <w:rFonts w:ascii="Arial" w:hAnsi="Arial" w:cs="Arial"/>
                <w:noProof/>
              </w:rPr>
            </w:pPr>
          </w:p>
          <w:p w:rsidR="005226A5" w:rsidRPr="005226A5" w:rsidRDefault="005226A5" w:rsidP="005226A5">
            <w:pPr>
              <w:pStyle w:val="ListParagraph"/>
              <w:numPr>
                <w:ilvl w:val="0"/>
                <w:numId w:val="2"/>
              </w:numPr>
              <w:spacing w:before="120" w:after="120"/>
              <w:rPr>
                <w:rFonts w:ascii="Arial" w:hAnsi="Arial" w:cs="Arial"/>
                <w:noProof/>
              </w:rPr>
            </w:pPr>
            <w:r w:rsidRPr="005226A5">
              <w:rPr>
                <w:rFonts w:ascii="Arial" w:hAnsi="Arial" w:cs="Arial"/>
                <w:noProof/>
              </w:rPr>
              <w:t>The maximum moving allowance shall not exceed 10% of the employee’s salary or $15,000 whichever is less.  Exceptions may be granted If approved in advance by the VP Finance.</w:t>
            </w:r>
          </w:p>
          <w:p w:rsidR="005226A5" w:rsidRPr="005226A5" w:rsidRDefault="005226A5" w:rsidP="005226A5">
            <w:pPr>
              <w:pStyle w:val="ListParagraph"/>
              <w:spacing w:before="120" w:after="120"/>
              <w:rPr>
                <w:rFonts w:ascii="Arial" w:hAnsi="Arial" w:cs="Arial"/>
                <w:noProof/>
              </w:rPr>
            </w:pPr>
          </w:p>
          <w:p w:rsidR="005226A5" w:rsidRPr="005226A5" w:rsidRDefault="005226A5" w:rsidP="005226A5">
            <w:pPr>
              <w:pStyle w:val="ListParagraph"/>
              <w:numPr>
                <w:ilvl w:val="0"/>
                <w:numId w:val="2"/>
              </w:numPr>
              <w:spacing w:before="120" w:after="120"/>
              <w:rPr>
                <w:rFonts w:ascii="Arial" w:hAnsi="Arial" w:cs="Arial"/>
                <w:noProof/>
              </w:rPr>
            </w:pPr>
            <w:r w:rsidRPr="005226A5">
              <w:rPr>
                <w:rFonts w:ascii="Arial" w:hAnsi="Arial" w:cs="Arial"/>
                <w:noProof/>
              </w:rPr>
              <w:t>If more than one member of a household is employed by the  UI, only one household allowance is provided and shall be based on the employee with the greater base salary.</w:t>
            </w:r>
          </w:p>
          <w:p w:rsidR="005226A5" w:rsidRPr="005226A5" w:rsidRDefault="005226A5" w:rsidP="005226A5">
            <w:pPr>
              <w:pStyle w:val="ListParagraph"/>
              <w:spacing w:before="120" w:after="120"/>
              <w:rPr>
                <w:rFonts w:ascii="Arial" w:hAnsi="Arial" w:cs="Arial"/>
                <w:noProof/>
              </w:rPr>
            </w:pPr>
          </w:p>
          <w:p w:rsidR="005226A5" w:rsidRPr="005226A5" w:rsidRDefault="005226A5" w:rsidP="005226A5">
            <w:pPr>
              <w:pStyle w:val="ListParagraph"/>
              <w:numPr>
                <w:ilvl w:val="0"/>
                <w:numId w:val="2"/>
              </w:numPr>
              <w:spacing w:before="120" w:after="120"/>
              <w:rPr>
                <w:rFonts w:ascii="Arial" w:hAnsi="Arial" w:cs="Arial"/>
                <w:noProof/>
              </w:rPr>
            </w:pPr>
            <w:r w:rsidRPr="005226A5">
              <w:rPr>
                <w:rFonts w:ascii="Arial" w:hAnsi="Arial" w:cs="Arial"/>
                <w:noProof/>
              </w:rPr>
              <w:t>UI will limit total payments to third parties and employees to the allowable moving allowance.  Should excess reimbursements occur, employees are required to reiimburse the University within 90 days of the move.</w:t>
            </w:r>
          </w:p>
        </w:tc>
      </w:tr>
    </w:tbl>
    <w:p w:rsidR="005226A5" w:rsidRDefault="005226A5">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7750F6" w:rsidRPr="007750F6" w:rsidTr="007750F6">
        <w:tc>
          <w:tcPr>
            <w:tcW w:w="10440" w:type="dxa"/>
            <w:vAlign w:val="center"/>
          </w:tcPr>
          <w:p w:rsidR="005226A5" w:rsidRDefault="005226A5" w:rsidP="00995949">
            <w:pPr>
              <w:spacing w:before="120" w:after="120"/>
              <w:rPr>
                <w:rFonts w:ascii="Arial" w:hAnsi="Arial" w:cs="Arial"/>
              </w:rPr>
            </w:pPr>
            <w:r w:rsidRPr="002362CB">
              <w:rPr>
                <w:rFonts w:ascii="Arial" w:hAnsi="Arial" w:cs="Arial"/>
              </w:rPr>
              <w:lastRenderedPageBreak/>
              <w:t xml:space="preserve">To Start the Moving Process of a </w:t>
            </w:r>
            <w:r>
              <w:rPr>
                <w:rFonts w:ascii="Arial" w:hAnsi="Arial" w:cs="Arial"/>
              </w:rPr>
              <w:t xml:space="preserve">New Employee, select </w:t>
            </w:r>
            <w:r w:rsidRPr="002362CB">
              <w:rPr>
                <w:rFonts w:ascii="Arial" w:hAnsi="Arial" w:cs="Arial"/>
              </w:rPr>
              <w:t>Create New Move Records and provide the following information:</w:t>
            </w:r>
          </w:p>
          <w:p w:rsidR="00995949" w:rsidRPr="002362CB" w:rsidRDefault="00995949" w:rsidP="00995949">
            <w:pPr>
              <w:rPr>
                <w:rFonts w:ascii="Arial" w:hAnsi="Arial" w:cs="Arial"/>
              </w:rPr>
            </w:pPr>
          </w:p>
          <w:p w:rsidR="007750F6" w:rsidRDefault="005226A5">
            <w:pPr>
              <w:rPr>
                <w:rFonts w:ascii="Arial" w:hAnsi="Arial" w:cs="Arial"/>
              </w:rPr>
            </w:pPr>
            <w:r w:rsidRPr="00DF3B46">
              <w:rPr>
                <w:noProof/>
              </w:rPr>
              <w:drawing>
                <wp:inline distT="0" distB="0" distL="0" distR="0">
                  <wp:extent cx="5486400" cy="3219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19450"/>
                          </a:xfrm>
                          <a:prstGeom prst="rect">
                            <a:avLst/>
                          </a:prstGeom>
                          <a:noFill/>
                          <a:ln>
                            <a:noFill/>
                          </a:ln>
                        </pic:spPr>
                      </pic:pic>
                    </a:graphicData>
                  </a:graphic>
                </wp:inline>
              </w:drawing>
            </w:r>
          </w:p>
          <w:p w:rsidR="005226A5" w:rsidRPr="007750F6" w:rsidRDefault="005226A5">
            <w:pPr>
              <w:rPr>
                <w:rFonts w:ascii="Arial" w:hAnsi="Arial" w:cs="Arial"/>
              </w:rPr>
            </w:pPr>
          </w:p>
        </w:tc>
      </w:tr>
      <w:tr w:rsidR="007750F6" w:rsidRPr="007750F6" w:rsidTr="007750F6">
        <w:tc>
          <w:tcPr>
            <w:tcW w:w="10440" w:type="dxa"/>
            <w:vAlign w:val="center"/>
          </w:tcPr>
          <w:p w:rsidR="005226A5" w:rsidRDefault="005226A5" w:rsidP="00995949">
            <w:pPr>
              <w:spacing w:before="240"/>
              <w:rPr>
                <w:rFonts w:ascii="Arial" w:hAnsi="Arial" w:cs="Arial"/>
              </w:rPr>
            </w:pPr>
            <w:r w:rsidRPr="00381263">
              <w:rPr>
                <w:rFonts w:ascii="Arial" w:hAnsi="Arial" w:cs="Arial"/>
              </w:rPr>
              <w:t>The creation of the Employee Vandal Number is required prior to the Create Move Records.  The PCN and Suffix information is a required field.</w:t>
            </w:r>
          </w:p>
          <w:p w:rsidR="005226A5" w:rsidRDefault="005226A5" w:rsidP="005226A5">
            <w:pPr>
              <w:rPr>
                <w:rFonts w:ascii="Arial" w:hAnsi="Arial" w:cs="Arial"/>
              </w:rPr>
            </w:pPr>
          </w:p>
          <w:p w:rsidR="007750F6" w:rsidRDefault="005226A5" w:rsidP="005226A5">
            <w:r w:rsidRPr="00381263">
              <w:rPr>
                <w:rFonts w:ascii="Arial" w:hAnsi="Arial" w:cs="Arial"/>
              </w:rPr>
              <w:t xml:space="preserve">If the employee is not currently on Banner, the new employee can work directly with Human Resources </w:t>
            </w:r>
            <w:r>
              <w:rPr>
                <w:rFonts w:ascii="Arial" w:hAnsi="Arial" w:cs="Arial"/>
              </w:rPr>
              <w:t>to create</w:t>
            </w:r>
            <w:r w:rsidRPr="00381263">
              <w:rPr>
                <w:rFonts w:ascii="Arial" w:hAnsi="Arial" w:cs="Arial"/>
              </w:rPr>
              <w:t xml:space="preserve"> a Vandal Number</w:t>
            </w:r>
            <w:r>
              <w:rPr>
                <w:rFonts w:ascii="Arial" w:hAnsi="Arial" w:cs="Arial"/>
              </w:rPr>
              <w:t>.</w:t>
            </w:r>
            <w:r w:rsidRPr="00381263">
              <w:rPr>
                <w:rFonts w:ascii="Arial" w:hAnsi="Arial" w:cs="Arial"/>
              </w:rPr>
              <w:t xml:space="preserve">  Accounts Payable may also be able to assist you with the information</w:t>
            </w:r>
            <w:r>
              <w:t>.</w:t>
            </w:r>
          </w:p>
          <w:p w:rsidR="005226A5" w:rsidRPr="007750F6" w:rsidRDefault="005226A5" w:rsidP="005226A5">
            <w:pPr>
              <w:rPr>
                <w:rFonts w:ascii="Arial" w:hAnsi="Arial" w:cs="Arial"/>
              </w:rPr>
            </w:pPr>
          </w:p>
        </w:tc>
      </w:tr>
      <w:tr w:rsidR="007750F6" w:rsidRPr="007750F6" w:rsidTr="007750F6">
        <w:tc>
          <w:tcPr>
            <w:tcW w:w="10440" w:type="dxa"/>
            <w:vAlign w:val="center"/>
          </w:tcPr>
          <w:p w:rsidR="007750F6" w:rsidRDefault="005226A5">
            <w:pPr>
              <w:rPr>
                <w:rFonts w:ascii="Arial" w:hAnsi="Arial" w:cs="Arial"/>
              </w:rPr>
            </w:pPr>
            <w:r w:rsidRPr="00DF3B46">
              <w:rPr>
                <w:noProof/>
              </w:rPr>
              <w:drawing>
                <wp:inline distT="0" distB="0" distL="0" distR="0">
                  <wp:extent cx="5486400" cy="340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409950"/>
                          </a:xfrm>
                          <a:prstGeom prst="rect">
                            <a:avLst/>
                          </a:prstGeom>
                          <a:noFill/>
                          <a:ln>
                            <a:noFill/>
                          </a:ln>
                        </pic:spPr>
                      </pic:pic>
                    </a:graphicData>
                  </a:graphic>
                </wp:inline>
              </w:drawing>
            </w:r>
          </w:p>
          <w:p w:rsidR="005226A5" w:rsidRPr="007750F6" w:rsidRDefault="005226A5">
            <w:pPr>
              <w:rPr>
                <w:rFonts w:ascii="Arial" w:hAnsi="Arial" w:cs="Arial"/>
              </w:rPr>
            </w:pPr>
          </w:p>
        </w:tc>
      </w:tr>
    </w:tbl>
    <w:p w:rsidR="005226A5" w:rsidRDefault="005226A5">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7750F6" w:rsidRPr="007750F6" w:rsidTr="007750F6">
        <w:tc>
          <w:tcPr>
            <w:tcW w:w="10440" w:type="dxa"/>
            <w:vAlign w:val="center"/>
          </w:tcPr>
          <w:p w:rsidR="005226A5" w:rsidRDefault="005226A5" w:rsidP="005226A5">
            <w:pPr>
              <w:spacing w:before="120"/>
              <w:rPr>
                <w:rFonts w:ascii="Arial" w:hAnsi="Arial" w:cs="Arial"/>
              </w:rPr>
            </w:pPr>
            <w:r w:rsidRPr="00381263">
              <w:rPr>
                <w:rFonts w:ascii="Arial" w:hAnsi="Arial" w:cs="Arial"/>
              </w:rPr>
              <w:lastRenderedPageBreak/>
              <w:t>Be sure to enter the new employee’s contact information in case we need to contact them concerning their move or reimbursement.</w:t>
            </w:r>
          </w:p>
          <w:p w:rsidR="007750F6" w:rsidRPr="007750F6" w:rsidRDefault="007750F6">
            <w:pPr>
              <w:rPr>
                <w:rFonts w:ascii="Arial" w:hAnsi="Arial" w:cs="Arial"/>
              </w:rPr>
            </w:pPr>
          </w:p>
        </w:tc>
      </w:tr>
      <w:tr w:rsidR="007750F6" w:rsidRPr="007750F6" w:rsidTr="007750F6">
        <w:tc>
          <w:tcPr>
            <w:tcW w:w="10440" w:type="dxa"/>
            <w:vAlign w:val="center"/>
          </w:tcPr>
          <w:p w:rsidR="007750F6" w:rsidRDefault="005226A5">
            <w:pPr>
              <w:rPr>
                <w:rFonts w:ascii="Arial" w:hAnsi="Arial" w:cs="Arial"/>
              </w:rPr>
            </w:pPr>
            <w:r w:rsidRPr="00DF3B46">
              <w:rPr>
                <w:noProof/>
              </w:rPr>
              <w:drawing>
                <wp:inline distT="0" distB="0" distL="0" distR="0">
                  <wp:extent cx="5486400" cy="3371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371850"/>
                          </a:xfrm>
                          <a:prstGeom prst="rect">
                            <a:avLst/>
                          </a:prstGeom>
                          <a:noFill/>
                          <a:ln>
                            <a:noFill/>
                          </a:ln>
                        </pic:spPr>
                      </pic:pic>
                    </a:graphicData>
                  </a:graphic>
                </wp:inline>
              </w:drawing>
            </w:r>
          </w:p>
          <w:p w:rsidR="005226A5" w:rsidRPr="007750F6" w:rsidRDefault="005226A5">
            <w:pPr>
              <w:rPr>
                <w:rFonts w:ascii="Arial" w:hAnsi="Arial" w:cs="Arial"/>
              </w:rPr>
            </w:pPr>
          </w:p>
        </w:tc>
      </w:tr>
      <w:tr w:rsidR="007750F6" w:rsidRPr="007750F6" w:rsidTr="007750F6">
        <w:tc>
          <w:tcPr>
            <w:tcW w:w="10440" w:type="dxa"/>
            <w:vAlign w:val="center"/>
          </w:tcPr>
          <w:p w:rsidR="007750F6" w:rsidRPr="007750F6" w:rsidRDefault="005226A5" w:rsidP="00AE25F3">
            <w:pPr>
              <w:spacing w:before="120" w:after="120"/>
              <w:rPr>
                <w:rFonts w:ascii="Arial" w:hAnsi="Arial" w:cs="Arial"/>
              </w:rPr>
            </w:pPr>
            <w:r w:rsidRPr="00381263">
              <w:rPr>
                <w:rFonts w:ascii="Arial" w:hAnsi="Arial" w:cs="Arial"/>
                <w:noProof/>
              </w:rPr>
              <w:t>Complete all of the re</w:t>
            </w:r>
            <w:r w:rsidR="00995949">
              <w:rPr>
                <w:rFonts w:ascii="Arial" w:hAnsi="Arial" w:cs="Arial"/>
                <w:noProof/>
              </w:rPr>
              <w:t xml:space="preserve">quired information and </w:t>
            </w:r>
            <w:r w:rsidR="00995949" w:rsidRPr="00995949">
              <w:rPr>
                <w:rFonts w:ascii="Arial" w:hAnsi="Arial" w:cs="Arial"/>
                <w:b/>
                <w:noProof/>
              </w:rPr>
              <w:t xml:space="preserve">Save </w:t>
            </w:r>
            <w:r w:rsidRPr="00995949">
              <w:rPr>
                <w:rFonts w:ascii="Arial" w:hAnsi="Arial" w:cs="Arial"/>
                <w:b/>
                <w:noProof/>
              </w:rPr>
              <w:t>Information</w:t>
            </w:r>
            <w:r w:rsidRPr="00381263">
              <w:rPr>
                <w:rFonts w:ascii="Arial" w:hAnsi="Arial" w:cs="Arial"/>
                <w:noProof/>
              </w:rPr>
              <w:t>.</w:t>
            </w:r>
          </w:p>
        </w:tc>
      </w:tr>
      <w:tr w:rsidR="005226A5" w:rsidRPr="007750F6" w:rsidTr="007750F6">
        <w:tc>
          <w:tcPr>
            <w:tcW w:w="10440" w:type="dxa"/>
            <w:vAlign w:val="center"/>
          </w:tcPr>
          <w:p w:rsidR="00AE25F3" w:rsidRDefault="00AE25F3" w:rsidP="00AE25F3">
            <w:pPr>
              <w:pStyle w:val="Heading3"/>
              <w:spacing w:after="240"/>
              <w:outlineLvl w:val="2"/>
            </w:pPr>
            <w:r>
              <w:t>Create a New Moving Expense Claim Voucher</w:t>
            </w:r>
          </w:p>
          <w:p w:rsidR="00AE25F3" w:rsidRPr="001107C4" w:rsidRDefault="00AE25F3" w:rsidP="00AE25F3">
            <w:pPr>
              <w:rPr>
                <w:rFonts w:ascii="Arial" w:hAnsi="Arial" w:cs="Arial"/>
                <w:b/>
                <w:u w:val="single"/>
              </w:rPr>
            </w:pPr>
            <w:r w:rsidRPr="001107C4">
              <w:rPr>
                <w:rFonts w:ascii="Arial" w:hAnsi="Arial" w:cs="Arial"/>
                <w:b/>
                <w:u w:val="single"/>
              </w:rPr>
              <w:t>Moving expenses allowable for reimbursement include:</w:t>
            </w:r>
          </w:p>
          <w:p w:rsidR="00AE25F3" w:rsidRDefault="00AE25F3" w:rsidP="00AE25F3">
            <w:pPr>
              <w:rPr>
                <w:rFonts w:ascii="Arial" w:hAnsi="Arial" w:cs="Arial"/>
              </w:rPr>
            </w:pPr>
          </w:p>
          <w:p w:rsidR="00AE25F3" w:rsidRPr="00995949" w:rsidRDefault="00AE25F3" w:rsidP="00995949">
            <w:pPr>
              <w:numPr>
                <w:ilvl w:val="0"/>
                <w:numId w:val="4"/>
              </w:numPr>
              <w:rPr>
                <w:rFonts w:ascii="Arial" w:hAnsi="Arial" w:cs="Arial"/>
              </w:rPr>
            </w:pPr>
            <w:r w:rsidRPr="00381263">
              <w:rPr>
                <w:rFonts w:ascii="Arial" w:hAnsi="Arial" w:cs="Arial"/>
              </w:rPr>
              <w:t>Actual receipts and expense for moving househ</w:t>
            </w:r>
            <w:r>
              <w:rPr>
                <w:rFonts w:ascii="Arial" w:hAnsi="Arial" w:cs="Arial"/>
              </w:rPr>
              <w:t>old goods and personal effects.</w:t>
            </w:r>
          </w:p>
          <w:p w:rsidR="00AE25F3" w:rsidRPr="00995949" w:rsidRDefault="00AE25F3" w:rsidP="00995949">
            <w:pPr>
              <w:numPr>
                <w:ilvl w:val="0"/>
                <w:numId w:val="4"/>
              </w:numPr>
              <w:rPr>
                <w:rFonts w:ascii="Arial" w:hAnsi="Arial" w:cs="Arial"/>
              </w:rPr>
            </w:pPr>
            <w:r>
              <w:rPr>
                <w:rFonts w:ascii="Arial" w:hAnsi="Arial" w:cs="Arial"/>
              </w:rPr>
              <w:t>Actual receipts of t</w:t>
            </w:r>
            <w:r w:rsidRPr="00381263">
              <w:rPr>
                <w:rFonts w:ascii="Arial" w:hAnsi="Arial" w:cs="Arial"/>
              </w:rPr>
              <w:t>raveling expenses</w:t>
            </w:r>
            <w:r>
              <w:rPr>
                <w:rFonts w:ascii="Arial" w:hAnsi="Arial" w:cs="Arial"/>
              </w:rPr>
              <w:t>, including parking fees, tolls paid during the move.</w:t>
            </w:r>
          </w:p>
          <w:p w:rsidR="00AE25F3" w:rsidRDefault="00AE25F3" w:rsidP="00AE25F3">
            <w:pPr>
              <w:numPr>
                <w:ilvl w:val="0"/>
                <w:numId w:val="4"/>
              </w:numPr>
              <w:rPr>
                <w:rFonts w:ascii="Arial" w:hAnsi="Arial" w:cs="Arial"/>
              </w:rPr>
            </w:pPr>
            <w:r w:rsidRPr="00381263">
              <w:rPr>
                <w:rFonts w:ascii="Arial" w:hAnsi="Arial" w:cs="Arial"/>
              </w:rPr>
              <w:t>Transporta</w:t>
            </w:r>
            <w:r>
              <w:rPr>
                <w:rFonts w:ascii="Arial" w:hAnsi="Arial" w:cs="Arial"/>
              </w:rPr>
              <w:t xml:space="preserve">tion of personal </w:t>
            </w:r>
            <w:r w:rsidRPr="00381263">
              <w:rPr>
                <w:rFonts w:ascii="Arial" w:hAnsi="Arial" w:cs="Arial"/>
              </w:rPr>
              <w:t>vehicle</w:t>
            </w:r>
            <w:r>
              <w:rPr>
                <w:rFonts w:ascii="Arial" w:hAnsi="Arial" w:cs="Arial"/>
              </w:rPr>
              <w:t>s.</w:t>
            </w:r>
          </w:p>
          <w:p w:rsidR="00AE25F3" w:rsidRPr="00381263" w:rsidRDefault="00AE25F3" w:rsidP="00AE25F3">
            <w:pPr>
              <w:rPr>
                <w:rFonts w:ascii="Arial" w:hAnsi="Arial" w:cs="Arial"/>
              </w:rPr>
            </w:pPr>
          </w:p>
          <w:p w:rsidR="00AE25F3" w:rsidRPr="001107C4" w:rsidRDefault="00AE25F3" w:rsidP="00AE25F3">
            <w:pPr>
              <w:spacing w:after="120"/>
              <w:rPr>
                <w:rFonts w:ascii="Arial" w:hAnsi="Arial" w:cs="Arial"/>
                <w:u w:val="single"/>
              </w:rPr>
            </w:pPr>
            <w:r w:rsidRPr="001107C4">
              <w:rPr>
                <w:rFonts w:ascii="Arial" w:hAnsi="Arial" w:cs="Arial"/>
                <w:b/>
                <w:u w:val="single"/>
              </w:rPr>
              <w:t>Taxable Expenses</w:t>
            </w:r>
            <w:r w:rsidRPr="001107C4">
              <w:rPr>
                <w:rFonts w:ascii="Arial" w:hAnsi="Arial" w:cs="Arial"/>
                <w:u w:val="single"/>
              </w:rPr>
              <w:t>:</w:t>
            </w:r>
          </w:p>
          <w:p w:rsidR="00AE25F3" w:rsidRPr="001107C4" w:rsidRDefault="00AE25F3" w:rsidP="00AE25F3">
            <w:pPr>
              <w:rPr>
                <w:rFonts w:ascii="Arial" w:hAnsi="Arial" w:cs="Arial"/>
                <w:i/>
              </w:rPr>
            </w:pPr>
            <w:r w:rsidRPr="001107C4">
              <w:rPr>
                <w:rFonts w:ascii="Arial" w:hAnsi="Arial" w:cs="Arial"/>
                <w:i/>
              </w:rPr>
              <w:t>Considered additional income and subject to payroll withholding.</w:t>
            </w:r>
          </w:p>
          <w:p w:rsidR="00AE25F3" w:rsidRDefault="00AE25F3" w:rsidP="00AE25F3">
            <w:pPr>
              <w:rPr>
                <w:rFonts w:ascii="Arial" w:hAnsi="Arial" w:cs="Arial"/>
              </w:rPr>
            </w:pPr>
          </w:p>
          <w:p w:rsidR="00AE25F3" w:rsidRPr="00995949" w:rsidRDefault="00AE25F3" w:rsidP="00995949">
            <w:pPr>
              <w:numPr>
                <w:ilvl w:val="0"/>
                <w:numId w:val="3"/>
              </w:numPr>
              <w:rPr>
                <w:rFonts w:ascii="Arial" w:hAnsi="Arial" w:cs="Arial"/>
              </w:rPr>
            </w:pPr>
            <w:r>
              <w:rPr>
                <w:rFonts w:ascii="Arial" w:hAnsi="Arial" w:cs="Arial"/>
              </w:rPr>
              <w:t>M</w:t>
            </w:r>
            <w:r w:rsidRPr="00381263">
              <w:rPr>
                <w:rFonts w:ascii="Arial" w:hAnsi="Arial" w:cs="Arial"/>
              </w:rPr>
              <w:t xml:space="preserve">ileage reimbursement </w:t>
            </w:r>
            <w:r>
              <w:rPr>
                <w:rFonts w:ascii="Arial" w:hAnsi="Arial" w:cs="Arial"/>
              </w:rPr>
              <w:t>greater than</w:t>
            </w:r>
            <w:r w:rsidRPr="00381263">
              <w:rPr>
                <w:rFonts w:ascii="Arial" w:hAnsi="Arial" w:cs="Arial"/>
              </w:rPr>
              <w:t xml:space="preserve"> the IRS Moving mileage allowance</w:t>
            </w:r>
            <w:r>
              <w:rPr>
                <w:rFonts w:ascii="Arial" w:hAnsi="Arial" w:cs="Arial"/>
              </w:rPr>
              <w:t>.</w:t>
            </w:r>
          </w:p>
          <w:p w:rsidR="00AE25F3" w:rsidRPr="00995949" w:rsidRDefault="00AE25F3" w:rsidP="00995949">
            <w:pPr>
              <w:numPr>
                <w:ilvl w:val="0"/>
                <w:numId w:val="3"/>
              </w:numPr>
              <w:rPr>
                <w:rFonts w:ascii="Arial" w:hAnsi="Arial" w:cs="Arial"/>
              </w:rPr>
            </w:pPr>
            <w:r w:rsidRPr="00381263">
              <w:rPr>
                <w:rFonts w:ascii="Arial" w:hAnsi="Arial" w:cs="Arial"/>
              </w:rPr>
              <w:t>Meals</w:t>
            </w:r>
            <w:r>
              <w:rPr>
                <w:rFonts w:ascii="Arial" w:hAnsi="Arial" w:cs="Arial"/>
              </w:rPr>
              <w:t xml:space="preserve"> or per diem – during the move and while in temporary quarters.</w:t>
            </w:r>
          </w:p>
          <w:p w:rsidR="00AE25F3" w:rsidRPr="00995949" w:rsidRDefault="00AE25F3" w:rsidP="00995949">
            <w:pPr>
              <w:numPr>
                <w:ilvl w:val="0"/>
                <w:numId w:val="3"/>
              </w:numPr>
              <w:rPr>
                <w:rFonts w:ascii="Arial" w:hAnsi="Arial" w:cs="Arial"/>
              </w:rPr>
            </w:pPr>
            <w:r>
              <w:rPr>
                <w:rFonts w:ascii="Arial" w:hAnsi="Arial" w:cs="Arial"/>
              </w:rPr>
              <w:t>All expenses reimbursed for</w:t>
            </w:r>
            <w:r w:rsidRPr="00381263">
              <w:rPr>
                <w:rFonts w:ascii="Arial" w:hAnsi="Arial" w:cs="Arial"/>
              </w:rPr>
              <w:t xml:space="preserve"> pre-move housing </w:t>
            </w:r>
            <w:r>
              <w:rPr>
                <w:rFonts w:ascii="Arial" w:hAnsi="Arial" w:cs="Arial"/>
              </w:rPr>
              <w:t>trips.</w:t>
            </w:r>
          </w:p>
          <w:p w:rsidR="00AE25F3" w:rsidRPr="00381263" w:rsidRDefault="00AE25F3" w:rsidP="00AE25F3">
            <w:pPr>
              <w:numPr>
                <w:ilvl w:val="0"/>
                <w:numId w:val="3"/>
              </w:numPr>
              <w:rPr>
                <w:rFonts w:ascii="Arial" w:hAnsi="Arial" w:cs="Arial"/>
              </w:rPr>
            </w:pPr>
            <w:r w:rsidRPr="00381263">
              <w:rPr>
                <w:rFonts w:ascii="Arial" w:hAnsi="Arial" w:cs="Arial"/>
              </w:rPr>
              <w:t>Temporary household goods storage expenses</w:t>
            </w:r>
            <w:r>
              <w:rPr>
                <w:rFonts w:ascii="Arial" w:hAnsi="Arial" w:cs="Arial"/>
              </w:rPr>
              <w:t>.</w:t>
            </w:r>
          </w:p>
          <w:p w:rsidR="005226A5" w:rsidRPr="007750F6" w:rsidRDefault="005226A5">
            <w:pPr>
              <w:rPr>
                <w:rFonts w:ascii="Arial" w:hAnsi="Arial" w:cs="Arial"/>
              </w:rPr>
            </w:pPr>
          </w:p>
        </w:tc>
      </w:tr>
    </w:tbl>
    <w:p w:rsidR="00AE25F3" w:rsidRDefault="00AE25F3">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5226A5" w:rsidRPr="007750F6" w:rsidTr="007750F6">
        <w:tc>
          <w:tcPr>
            <w:tcW w:w="10440" w:type="dxa"/>
            <w:vAlign w:val="center"/>
          </w:tcPr>
          <w:p w:rsidR="005226A5" w:rsidRDefault="00AE25F3">
            <w:pPr>
              <w:rPr>
                <w:rFonts w:ascii="Arial" w:hAnsi="Arial" w:cs="Arial"/>
              </w:rPr>
            </w:pPr>
            <w:r w:rsidRPr="001107C4">
              <w:rPr>
                <w:rFonts w:ascii="Arial" w:hAnsi="Arial" w:cs="Arial"/>
              </w:rPr>
              <w:t>Select the Employee Record – for example Joseph Vandal - you will receive a summary of their information</w:t>
            </w:r>
          </w:p>
          <w:p w:rsidR="00AE25F3" w:rsidRPr="007750F6" w:rsidRDefault="00AE25F3">
            <w:pPr>
              <w:rPr>
                <w:rFonts w:ascii="Arial" w:hAnsi="Arial" w:cs="Arial"/>
              </w:rPr>
            </w:pPr>
          </w:p>
        </w:tc>
      </w:tr>
      <w:tr w:rsidR="005226A5" w:rsidRPr="007750F6" w:rsidTr="007750F6">
        <w:tc>
          <w:tcPr>
            <w:tcW w:w="10440" w:type="dxa"/>
            <w:vAlign w:val="center"/>
          </w:tcPr>
          <w:p w:rsidR="005226A5" w:rsidRDefault="00AE25F3">
            <w:pPr>
              <w:rPr>
                <w:rFonts w:ascii="Arial" w:hAnsi="Arial" w:cs="Arial"/>
              </w:rPr>
            </w:pPr>
            <w:r w:rsidRPr="00365C9F">
              <w:rPr>
                <w:noProof/>
              </w:rPr>
              <w:drawing>
                <wp:inline distT="0" distB="0" distL="0" distR="0">
                  <wp:extent cx="5972175" cy="1476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1476375"/>
                          </a:xfrm>
                          <a:prstGeom prst="rect">
                            <a:avLst/>
                          </a:prstGeom>
                          <a:noFill/>
                          <a:ln>
                            <a:noFill/>
                          </a:ln>
                        </pic:spPr>
                      </pic:pic>
                    </a:graphicData>
                  </a:graphic>
                </wp:inline>
              </w:drawing>
            </w:r>
          </w:p>
          <w:p w:rsidR="00AE25F3" w:rsidRPr="007750F6" w:rsidRDefault="00AE25F3">
            <w:pPr>
              <w:rPr>
                <w:rFonts w:ascii="Arial" w:hAnsi="Arial" w:cs="Arial"/>
              </w:rPr>
            </w:pPr>
          </w:p>
        </w:tc>
      </w:tr>
      <w:tr w:rsidR="005226A5" w:rsidRPr="007750F6" w:rsidTr="007750F6">
        <w:tc>
          <w:tcPr>
            <w:tcW w:w="10440" w:type="dxa"/>
            <w:vAlign w:val="center"/>
          </w:tcPr>
          <w:p w:rsidR="00AE25F3" w:rsidRDefault="00AE25F3" w:rsidP="00AE25F3">
            <w:pPr>
              <w:spacing w:before="120"/>
              <w:rPr>
                <w:rFonts w:ascii="Arial" w:hAnsi="Arial" w:cs="Arial"/>
                <w:noProof/>
              </w:rPr>
            </w:pPr>
            <w:r w:rsidRPr="001107C4">
              <w:rPr>
                <w:rFonts w:ascii="Arial" w:hAnsi="Arial" w:cs="Arial"/>
                <w:noProof/>
              </w:rPr>
              <w:t xml:space="preserve">The Summary lists the available balances remaining that can be expenses.   The </w:t>
            </w:r>
            <w:r w:rsidRPr="001107C4">
              <w:rPr>
                <w:rFonts w:ascii="Arial" w:hAnsi="Arial" w:cs="Arial"/>
                <w:b/>
                <w:noProof/>
                <w:u w:val="single"/>
              </w:rPr>
              <w:t>View More Details</w:t>
            </w:r>
            <w:r w:rsidRPr="001107C4">
              <w:rPr>
                <w:rFonts w:ascii="Arial" w:hAnsi="Arial" w:cs="Arial"/>
                <w:noProof/>
              </w:rPr>
              <w:t xml:space="preserve">, provides a listing of previous documents associated with the Moving </w:t>
            </w:r>
            <w:r>
              <w:rPr>
                <w:rFonts w:ascii="Arial" w:hAnsi="Arial" w:cs="Arial"/>
                <w:noProof/>
              </w:rPr>
              <w:t>Records.</w:t>
            </w:r>
          </w:p>
          <w:p w:rsidR="00AE25F3" w:rsidRPr="007750F6" w:rsidRDefault="00AE25F3" w:rsidP="00AE25F3">
            <w:pPr>
              <w:spacing w:before="120"/>
              <w:rPr>
                <w:rFonts w:ascii="Arial" w:hAnsi="Arial" w:cs="Arial"/>
                <w:noProof/>
              </w:rPr>
            </w:pPr>
          </w:p>
        </w:tc>
      </w:tr>
      <w:tr w:rsidR="005226A5" w:rsidRPr="007750F6" w:rsidTr="007750F6">
        <w:tc>
          <w:tcPr>
            <w:tcW w:w="10440" w:type="dxa"/>
            <w:vAlign w:val="center"/>
          </w:tcPr>
          <w:p w:rsidR="005226A5" w:rsidRDefault="00AE25F3">
            <w:pPr>
              <w:rPr>
                <w:rFonts w:ascii="Arial" w:hAnsi="Arial" w:cs="Arial"/>
              </w:rPr>
            </w:pPr>
            <w:r w:rsidRPr="00365C9F">
              <w:rPr>
                <w:noProof/>
              </w:rPr>
              <w:drawing>
                <wp:inline distT="0" distB="0" distL="0" distR="0">
                  <wp:extent cx="5972175" cy="838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838200"/>
                          </a:xfrm>
                          <a:prstGeom prst="rect">
                            <a:avLst/>
                          </a:prstGeom>
                          <a:noFill/>
                          <a:ln>
                            <a:noFill/>
                          </a:ln>
                        </pic:spPr>
                      </pic:pic>
                    </a:graphicData>
                  </a:graphic>
                </wp:inline>
              </w:drawing>
            </w:r>
          </w:p>
          <w:p w:rsidR="00AE25F3" w:rsidRPr="007750F6" w:rsidRDefault="00AE25F3">
            <w:pPr>
              <w:rPr>
                <w:rFonts w:ascii="Arial" w:hAnsi="Arial" w:cs="Arial"/>
              </w:rPr>
            </w:pPr>
          </w:p>
        </w:tc>
      </w:tr>
      <w:tr w:rsidR="00AE25F3" w:rsidRPr="007750F6" w:rsidTr="007750F6">
        <w:tc>
          <w:tcPr>
            <w:tcW w:w="10440" w:type="dxa"/>
            <w:vAlign w:val="center"/>
          </w:tcPr>
          <w:p w:rsidR="00AE25F3" w:rsidRDefault="00AE25F3" w:rsidP="00AE25F3">
            <w:pPr>
              <w:pStyle w:val="BodyTextIndent"/>
              <w:spacing w:before="120" w:line="240" w:lineRule="exact"/>
              <w:ind w:left="0"/>
              <w:rPr>
                <w:rFonts w:ascii="Arial" w:hAnsi="Arial" w:cs="Arial"/>
                <w:sz w:val="22"/>
                <w:szCs w:val="22"/>
              </w:rPr>
            </w:pPr>
            <w:r w:rsidRPr="00E40C15">
              <w:rPr>
                <w:rFonts w:ascii="Arial" w:hAnsi="Arial" w:cs="Arial"/>
                <w:sz w:val="22"/>
                <w:szCs w:val="22"/>
              </w:rPr>
              <w:t xml:space="preserve">At the bottom of the page, select on </w:t>
            </w:r>
            <w:r w:rsidRPr="00E40C15">
              <w:rPr>
                <w:rFonts w:ascii="Arial" w:hAnsi="Arial" w:cs="Arial"/>
                <w:b/>
                <w:bCs/>
                <w:sz w:val="22"/>
                <w:szCs w:val="22"/>
                <w:u w:val="single"/>
              </w:rPr>
              <w:t>Create New Claim Voucher</w:t>
            </w:r>
            <w:r w:rsidRPr="00E40C15">
              <w:rPr>
                <w:rFonts w:ascii="Arial" w:hAnsi="Arial" w:cs="Arial"/>
                <w:sz w:val="22"/>
                <w:szCs w:val="22"/>
              </w:rPr>
              <w:t xml:space="preserve">   A Banner “I” Invoice Document </w:t>
            </w:r>
            <w:proofErr w:type="gramStart"/>
            <w:r w:rsidRPr="00E40C15">
              <w:rPr>
                <w:rFonts w:ascii="Arial" w:hAnsi="Arial" w:cs="Arial"/>
                <w:sz w:val="22"/>
                <w:szCs w:val="22"/>
              </w:rPr>
              <w:t>will be assigned</w:t>
            </w:r>
            <w:proofErr w:type="gramEnd"/>
            <w:r w:rsidRPr="00E40C15">
              <w:rPr>
                <w:rFonts w:ascii="Arial" w:hAnsi="Arial" w:cs="Arial"/>
                <w:sz w:val="22"/>
                <w:szCs w:val="22"/>
              </w:rPr>
              <w:t xml:space="preserve"> to the Claim Voucher at This point.  </w:t>
            </w:r>
            <w:proofErr w:type="gramStart"/>
            <w:r w:rsidRPr="00E40C15">
              <w:rPr>
                <w:rFonts w:ascii="Arial" w:hAnsi="Arial" w:cs="Arial"/>
                <w:sz w:val="22"/>
                <w:szCs w:val="22"/>
              </w:rPr>
              <w:t>The I</w:t>
            </w:r>
            <w:proofErr w:type="gramEnd"/>
            <w:r w:rsidRPr="00E40C15">
              <w:rPr>
                <w:rFonts w:ascii="Arial" w:hAnsi="Arial" w:cs="Arial"/>
                <w:sz w:val="22"/>
                <w:szCs w:val="22"/>
              </w:rPr>
              <w:t xml:space="preserve"> number is viewable on Banner FOIDOCH as “S” status.</w:t>
            </w:r>
          </w:p>
          <w:p w:rsidR="00AE25F3" w:rsidRPr="00AE25F3" w:rsidRDefault="00AE25F3" w:rsidP="00AE25F3">
            <w:pPr>
              <w:pStyle w:val="BodyTextIndent"/>
              <w:spacing w:line="240" w:lineRule="exact"/>
              <w:ind w:left="0"/>
              <w:rPr>
                <w:rFonts w:ascii="Arial" w:hAnsi="Arial" w:cs="Arial"/>
                <w:sz w:val="22"/>
                <w:szCs w:val="22"/>
              </w:rPr>
            </w:pPr>
          </w:p>
        </w:tc>
      </w:tr>
    </w:tbl>
    <w:p w:rsidR="00A36734" w:rsidRDefault="00A36734">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E25F3" w:rsidRPr="007750F6" w:rsidTr="007750F6">
        <w:tc>
          <w:tcPr>
            <w:tcW w:w="10440" w:type="dxa"/>
            <w:vAlign w:val="center"/>
          </w:tcPr>
          <w:p w:rsidR="00AE25F3" w:rsidRDefault="00AE25F3" w:rsidP="00AE25F3">
            <w:pPr>
              <w:pStyle w:val="BodyTextIndent"/>
              <w:spacing w:before="120"/>
              <w:ind w:left="0"/>
              <w:rPr>
                <w:rFonts w:ascii="Arial" w:hAnsi="Arial" w:cs="Arial"/>
                <w:sz w:val="22"/>
                <w:szCs w:val="22"/>
              </w:rPr>
            </w:pPr>
            <w:r w:rsidRPr="00EB2D3E">
              <w:rPr>
                <w:rFonts w:ascii="Arial" w:hAnsi="Arial" w:cs="Arial"/>
                <w:sz w:val="22"/>
                <w:szCs w:val="22"/>
              </w:rPr>
              <w:t>Enter information in the Claim Voucher Fields</w:t>
            </w:r>
            <w:r>
              <w:rPr>
                <w:rFonts w:ascii="Arial" w:hAnsi="Arial" w:cs="Arial"/>
                <w:sz w:val="22"/>
                <w:szCs w:val="22"/>
              </w:rPr>
              <w:t>:</w:t>
            </w:r>
          </w:p>
          <w:p w:rsidR="00AE25F3" w:rsidRDefault="00AE25F3" w:rsidP="00AE25F3">
            <w:pPr>
              <w:pStyle w:val="BodyTextIndent"/>
              <w:ind w:left="0"/>
              <w:rPr>
                <w:rFonts w:ascii="Arial" w:hAnsi="Arial" w:cs="Arial"/>
                <w:sz w:val="22"/>
                <w:szCs w:val="22"/>
              </w:rPr>
            </w:pPr>
          </w:p>
          <w:p w:rsidR="00AE25F3" w:rsidRPr="00EB2D3E" w:rsidRDefault="00AE25F3" w:rsidP="00A36734">
            <w:pPr>
              <w:pStyle w:val="BodyTextIndent"/>
              <w:numPr>
                <w:ilvl w:val="0"/>
                <w:numId w:val="6"/>
              </w:numPr>
              <w:spacing w:after="120"/>
              <w:rPr>
                <w:rFonts w:ascii="Arial" w:hAnsi="Arial" w:cs="Arial"/>
                <w:sz w:val="22"/>
                <w:szCs w:val="22"/>
              </w:rPr>
            </w:pPr>
            <w:r w:rsidRPr="00EB2D3E">
              <w:rPr>
                <w:rFonts w:ascii="Arial" w:hAnsi="Arial" w:cs="Arial"/>
                <w:sz w:val="22"/>
                <w:szCs w:val="22"/>
              </w:rPr>
              <w:t>Select Department</w:t>
            </w:r>
          </w:p>
          <w:p w:rsidR="00AE25F3" w:rsidRDefault="00AE25F3" w:rsidP="00A36734">
            <w:pPr>
              <w:pStyle w:val="BodyTextIndent"/>
              <w:numPr>
                <w:ilvl w:val="0"/>
                <w:numId w:val="6"/>
              </w:numPr>
              <w:spacing w:after="120"/>
              <w:rPr>
                <w:rFonts w:ascii="Arial" w:hAnsi="Arial" w:cs="Arial"/>
                <w:sz w:val="22"/>
                <w:szCs w:val="22"/>
              </w:rPr>
            </w:pPr>
            <w:r w:rsidRPr="00EB2D3E">
              <w:rPr>
                <w:rFonts w:ascii="Arial" w:hAnsi="Arial" w:cs="Arial"/>
                <w:sz w:val="22"/>
                <w:szCs w:val="22"/>
              </w:rPr>
              <w:t xml:space="preserve">Vendor Payee ID or </w:t>
            </w:r>
            <w:r>
              <w:rPr>
                <w:rFonts w:ascii="Arial" w:hAnsi="Arial" w:cs="Arial"/>
                <w:sz w:val="22"/>
                <w:szCs w:val="22"/>
              </w:rPr>
              <w:t>Individual’s Vandal Number (V#)</w:t>
            </w:r>
          </w:p>
          <w:p w:rsidR="00AE25F3" w:rsidRDefault="00A36734" w:rsidP="00A36734">
            <w:pPr>
              <w:pStyle w:val="BodyTextIndent"/>
              <w:spacing w:after="120"/>
              <w:rPr>
                <w:rFonts w:ascii="Arial" w:hAnsi="Arial" w:cs="Arial"/>
                <w:sz w:val="22"/>
                <w:szCs w:val="22"/>
              </w:rPr>
            </w:pPr>
            <w:r w:rsidRPr="00A36734">
              <w:rPr>
                <w:rFonts w:ascii="Arial" w:hAnsi="Arial" w:cs="Arial"/>
                <w:b/>
                <w:sz w:val="22"/>
                <w:szCs w:val="22"/>
              </w:rPr>
              <w:t>Note</w:t>
            </w:r>
            <w:r>
              <w:rPr>
                <w:rFonts w:ascii="Arial" w:hAnsi="Arial" w:cs="Arial"/>
                <w:sz w:val="22"/>
                <w:szCs w:val="22"/>
              </w:rPr>
              <w:t xml:space="preserve">: </w:t>
            </w:r>
            <w:r w:rsidR="00AE25F3" w:rsidRPr="00EB2D3E">
              <w:rPr>
                <w:rFonts w:ascii="Arial" w:hAnsi="Arial" w:cs="Arial"/>
                <w:sz w:val="22"/>
                <w:szCs w:val="22"/>
              </w:rPr>
              <w:t xml:space="preserve">If you do not know the Payee </w:t>
            </w:r>
            <w:r w:rsidR="00AE25F3">
              <w:rPr>
                <w:rFonts w:ascii="Arial" w:hAnsi="Arial" w:cs="Arial"/>
                <w:sz w:val="22"/>
                <w:szCs w:val="22"/>
              </w:rPr>
              <w:t xml:space="preserve">ID, the Search Button will allow </w:t>
            </w:r>
            <w:r w:rsidR="00AE25F3" w:rsidRPr="00EB2D3E">
              <w:rPr>
                <w:rFonts w:ascii="Arial" w:hAnsi="Arial" w:cs="Arial"/>
                <w:sz w:val="22"/>
                <w:szCs w:val="22"/>
              </w:rPr>
              <w:t>you to query for the information.</w:t>
            </w:r>
          </w:p>
          <w:p w:rsidR="00A36734" w:rsidRDefault="00AE25F3" w:rsidP="00A36734">
            <w:pPr>
              <w:pStyle w:val="BodyTextIndent"/>
              <w:numPr>
                <w:ilvl w:val="0"/>
                <w:numId w:val="6"/>
              </w:numPr>
              <w:rPr>
                <w:rFonts w:ascii="Arial" w:hAnsi="Arial" w:cs="Arial"/>
                <w:sz w:val="22"/>
                <w:szCs w:val="22"/>
              </w:rPr>
            </w:pPr>
            <w:r w:rsidRPr="00EB2D3E">
              <w:rPr>
                <w:rFonts w:ascii="Arial" w:hAnsi="Arial" w:cs="Arial"/>
                <w:sz w:val="22"/>
                <w:szCs w:val="22"/>
              </w:rPr>
              <w:t xml:space="preserve">If the Vendor or individual does not currently exist in Banner or the available address is not correct, contact Accounts Payable for the GID Identification to be </w:t>
            </w:r>
            <w:proofErr w:type="gramStart"/>
            <w:r w:rsidRPr="00EB2D3E">
              <w:rPr>
                <w:rFonts w:ascii="Arial" w:hAnsi="Arial" w:cs="Arial"/>
                <w:sz w:val="22"/>
                <w:szCs w:val="22"/>
              </w:rPr>
              <w:t>created</w:t>
            </w:r>
            <w:proofErr w:type="gramEnd"/>
            <w:r>
              <w:rPr>
                <w:rFonts w:ascii="Arial" w:hAnsi="Arial" w:cs="Arial"/>
                <w:sz w:val="22"/>
                <w:szCs w:val="22"/>
              </w:rPr>
              <w:t xml:space="preserve"> or</w:t>
            </w:r>
            <w:r w:rsidRPr="00EB2D3E">
              <w:rPr>
                <w:rFonts w:ascii="Arial" w:hAnsi="Arial" w:cs="Arial"/>
                <w:sz w:val="22"/>
                <w:szCs w:val="22"/>
              </w:rPr>
              <w:t xml:space="preserve"> updated.</w:t>
            </w:r>
          </w:p>
          <w:p w:rsidR="00A36734" w:rsidRPr="00A36734" w:rsidRDefault="00A36734" w:rsidP="00A36734">
            <w:pPr>
              <w:pStyle w:val="BodyTextIndent"/>
              <w:spacing w:after="120"/>
              <w:rPr>
                <w:rFonts w:ascii="Arial" w:hAnsi="Arial" w:cs="Arial"/>
                <w:sz w:val="22"/>
                <w:szCs w:val="22"/>
              </w:rPr>
            </w:pPr>
          </w:p>
        </w:tc>
      </w:tr>
      <w:tr w:rsidR="00AE25F3" w:rsidRPr="007750F6" w:rsidTr="007750F6">
        <w:tc>
          <w:tcPr>
            <w:tcW w:w="10440" w:type="dxa"/>
            <w:vAlign w:val="center"/>
          </w:tcPr>
          <w:p w:rsidR="00AE25F3" w:rsidRPr="00365C9F" w:rsidRDefault="00A36734">
            <w:pPr>
              <w:rPr>
                <w:noProof/>
              </w:rPr>
            </w:pPr>
            <w:r w:rsidRPr="00365C9F">
              <w:rPr>
                <w:noProof/>
              </w:rPr>
              <w:drawing>
                <wp:inline distT="0" distB="0" distL="0" distR="0">
                  <wp:extent cx="5486400" cy="6962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6962775"/>
                          </a:xfrm>
                          <a:prstGeom prst="rect">
                            <a:avLst/>
                          </a:prstGeom>
                          <a:noFill/>
                          <a:ln>
                            <a:noFill/>
                          </a:ln>
                        </pic:spPr>
                      </pic:pic>
                    </a:graphicData>
                  </a:graphic>
                </wp:inline>
              </w:drawing>
            </w:r>
          </w:p>
        </w:tc>
      </w:tr>
    </w:tbl>
    <w:p w:rsidR="00A36734" w:rsidRDefault="00A36734">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E25F3" w:rsidRPr="007750F6" w:rsidTr="007750F6">
        <w:tc>
          <w:tcPr>
            <w:tcW w:w="10440" w:type="dxa"/>
            <w:vAlign w:val="center"/>
          </w:tcPr>
          <w:p w:rsidR="006E148E" w:rsidRDefault="006E148E" w:rsidP="006E148E">
            <w:pPr>
              <w:numPr>
                <w:ilvl w:val="0"/>
                <w:numId w:val="8"/>
              </w:numPr>
              <w:spacing w:after="120"/>
              <w:rPr>
                <w:rFonts w:ascii="Arial" w:hAnsi="Arial" w:cs="Arial"/>
              </w:rPr>
            </w:pPr>
            <w:r>
              <w:rPr>
                <w:rFonts w:ascii="Arial" w:hAnsi="Arial" w:cs="Arial"/>
              </w:rPr>
              <w:t>S</w:t>
            </w:r>
            <w:r w:rsidRPr="00381263">
              <w:rPr>
                <w:rFonts w:ascii="Arial" w:hAnsi="Arial" w:cs="Arial"/>
              </w:rPr>
              <w:t>elect the address</w:t>
            </w:r>
            <w:r>
              <w:rPr>
                <w:rFonts w:ascii="Arial" w:hAnsi="Arial" w:cs="Arial"/>
              </w:rPr>
              <w:t xml:space="preserve"> for the payment to </w:t>
            </w:r>
            <w:proofErr w:type="gramStart"/>
            <w:r>
              <w:rPr>
                <w:rFonts w:ascii="Arial" w:hAnsi="Arial" w:cs="Arial"/>
              </w:rPr>
              <w:t>be mailed</w:t>
            </w:r>
            <w:proofErr w:type="gramEnd"/>
            <w:r>
              <w:rPr>
                <w:rFonts w:ascii="Arial" w:hAnsi="Arial" w:cs="Arial"/>
              </w:rPr>
              <w:t>.</w:t>
            </w:r>
          </w:p>
          <w:p w:rsidR="006E148E" w:rsidRPr="00381263" w:rsidRDefault="006E148E" w:rsidP="006E148E">
            <w:pPr>
              <w:numPr>
                <w:ilvl w:val="0"/>
                <w:numId w:val="8"/>
              </w:numPr>
              <w:spacing w:after="120"/>
              <w:rPr>
                <w:rFonts w:ascii="Arial" w:hAnsi="Arial" w:cs="Arial"/>
              </w:rPr>
            </w:pPr>
            <w:r>
              <w:rPr>
                <w:rFonts w:ascii="Arial" w:hAnsi="Arial" w:cs="Arial"/>
              </w:rPr>
              <w:t>T</w:t>
            </w:r>
            <w:r w:rsidRPr="00381263">
              <w:rPr>
                <w:rFonts w:ascii="Arial" w:hAnsi="Arial" w:cs="Arial"/>
              </w:rPr>
              <w:t xml:space="preserve">he direct deposit indicator </w:t>
            </w:r>
            <w:r>
              <w:rPr>
                <w:rFonts w:ascii="Arial" w:hAnsi="Arial" w:cs="Arial"/>
              </w:rPr>
              <w:t>advises whether</w:t>
            </w:r>
            <w:r w:rsidRPr="00381263">
              <w:rPr>
                <w:rFonts w:ascii="Arial" w:hAnsi="Arial" w:cs="Arial"/>
              </w:rPr>
              <w:t xml:space="preserve"> the person will be receiving a check or as direct deposit. </w:t>
            </w:r>
          </w:p>
          <w:p w:rsidR="006E148E" w:rsidRDefault="006E148E" w:rsidP="006E148E">
            <w:pPr>
              <w:numPr>
                <w:ilvl w:val="0"/>
                <w:numId w:val="8"/>
              </w:numPr>
              <w:spacing w:after="120"/>
              <w:rPr>
                <w:rFonts w:ascii="Arial" w:hAnsi="Arial" w:cs="Arial"/>
              </w:rPr>
            </w:pPr>
            <w:r w:rsidRPr="00381263">
              <w:rPr>
                <w:rFonts w:ascii="Arial" w:hAnsi="Arial" w:cs="Arial"/>
              </w:rPr>
              <w:t xml:space="preserve">Enter Approver 1 ID:  Approver 1 is a required field, but depending on your college and department, you may need to add additional approvers.  </w:t>
            </w:r>
            <w:r>
              <w:rPr>
                <w:rFonts w:ascii="Arial" w:hAnsi="Arial" w:cs="Arial"/>
              </w:rPr>
              <w:t>(</w:t>
            </w:r>
            <w:r w:rsidRPr="00EB2D3E">
              <w:rPr>
                <w:rFonts w:ascii="Arial" w:hAnsi="Arial" w:cs="Arial"/>
              </w:rPr>
              <w:t>If you do not know their Vandal Number, select the SEARCH button.</w:t>
            </w:r>
            <w:r>
              <w:rPr>
                <w:rFonts w:ascii="Arial" w:hAnsi="Arial" w:cs="Arial"/>
              </w:rPr>
              <w:t>)</w:t>
            </w:r>
          </w:p>
          <w:p w:rsidR="006E148E" w:rsidRPr="00381263" w:rsidRDefault="006E148E" w:rsidP="006E148E">
            <w:pPr>
              <w:spacing w:after="120"/>
              <w:ind w:left="720"/>
              <w:rPr>
                <w:rFonts w:ascii="Arial" w:hAnsi="Arial" w:cs="Arial"/>
              </w:rPr>
            </w:pPr>
            <w:r w:rsidRPr="006E148E">
              <w:rPr>
                <w:rFonts w:ascii="Arial" w:hAnsi="Arial" w:cs="Arial"/>
                <w:b/>
              </w:rPr>
              <w:t>Note</w:t>
            </w:r>
            <w:r>
              <w:rPr>
                <w:rFonts w:ascii="Arial" w:hAnsi="Arial" w:cs="Arial"/>
              </w:rPr>
              <w:t>: C</w:t>
            </w:r>
            <w:r w:rsidRPr="00381263">
              <w:rPr>
                <w:rFonts w:ascii="Arial" w:hAnsi="Arial" w:cs="Arial"/>
              </w:rPr>
              <w:t>laim voucher approvals are not</w:t>
            </w:r>
            <w:r>
              <w:rPr>
                <w:rFonts w:ascii="Arial" w:hAnsi="Arial" w:cs="Arial"/>
              </w:rPr>
              <w:t xml:space="preserve"> forward through the</w:t>
            </w:r>
            <w:r w:rsidRPr="00381263">
              <w:rPr>
                <w:rFonts w:ascii="Arial" w:hAnsi="Arial" w:cs="Arial"/>
              </w:rPr>
              <w:t xml:space="preserve"> Banner document approvals only the </w:t>
            </w:r>
            <w:r>
              <w:rPr>
                <w:rFonts w:ascii="Arial" w:hAnsi="Arial" w:cs="Arial"/>
              </w:rPr>
              <w:t>vandal web approvals.</w:t>
            </w:r>
            <w:r w:rsidRPr="00381263">
              <w:rPr>
                <w:rFonts w:ascii="Arial" w:hAnsi="Arial" w:cs="Arial"/>
              </w:rPr>
              <w:t xml:space="preserve">  </w:t>
            </w:r>
          </w:p>
          <w:p w:rsidR="006E148E" w:rsidRPr="00381263" w:rsidRDefault="006E148E" w:rsidP="006E148E">
            <w:pPr>
              <w:numPr>
                <w:ilvl w:val="0"/>
                <w:numId w:val="8"/>
              </w:numPr>
              <w:spacing w:after="120"/>
              <w:rPr>
                <w:rFonts w:ascii="Arial" w:hAnsi="Arial" w:cs="Arial"/>
              </w:rPr>
            </w:pPr>
            <w:r w:rsidRPr="00381263">
              <w:rPr>
                <w:rFonts w:ascii="Arial" w:hAnsi="Arial" w:cs="Arial"/>
              </w:rPr>
              <w:t>Enter the Total Amount of the Claim Voucher Payment</w:t>
            </w:r>
          </w:p>
          <w:p w:rsidR="006E148E" w:rsidRPr="00381263" w:rsidRDefault="006E148E" w:rsidP="006E148E">
            <w:pPr>
              <w:numPr>
                <w:ilvl w:val="0"/>
                <w:numId w:val="8"/>
              </w:numPr>
              <w:spacing w:after="120"/>
              <w:rPr>
                <w:rFonts w:ascii="Arial" w:hAnsi="Arial" w:cs="Arial"/>
              </w:rPr>
            </w:pPr>
            <w:r w:rsidRPr="00381263">
              <w:rPr>
                <w:rFonts w:ascii="Arial" w:hAnsi="Arial" w:cs="Arial"/>
              </w:rPr>
              <w:t>Enter the Vendor Invoice Number: (See Additional Information regarding invoice numbers).</w:t>
            </w:r>
          </w:p>
          <w:p w:rsidR="006E148E" w:rsidRPr="00381263" w:rsidRDefault="006E148E" w:rsidP="006E148E">
            <w:pPr>
              <w:numPr>
                <w:ilvl w:val="0"/>
                <w:numId w:val="8"/>
              </w:numPr>
              <w:spacing w:after="120"/>
              <w:rPr>
                <w:rFonts w:ascii="Arial" w:hAnsi="Arial" w:cs="Arial"/>
              </w:rPr>
            </w:pPr>
            <w:r w:rsidRPr="00381263">
              <w:rPr>
                <w:rFonts w:ascii="Arial" w:hAnsi="Arial" w:cs="Arial"/>
              </w:rPr>
              <w:t>Enter the Purchasing Services Contract Number if one is available</w:t>
            </w:r>
          </w:p>
          <w:p w:rsidR="006E148E" w:rsidRDefault="006E148E" w:rsidP="006E148E">
            <w:pPr>
              <w:numPr>
                <w:ilvl w:val="0"/>
                <w:numId w:val="8"/>
              </w:numPr>
              <w:spacing w:after="120"/>
              <w:rPr>
                <w:rFonts w:ascii="Arial" w:hAnsi="Arial" w:cs="Arial"/>
              </w:rPr>
            </w:pPr>
            <w:r>
              <w:rPr>
                <w:rFonts w:ascii="Arial" w:hAnsi="Arial" w:cs="Arial"/>
              </w:rPr>
              <w:t xml:space="preserve">Provide a description of the payment; this information </w:t>
            </w:r>
            <w:proofErr w:type="gramStart"/>
            <w:r>
              <w:rPr>
                <w:rFonts w:ascii="Arial" w:hAnsi="Arial" w:cs="Arial"/>
              </w:rPr>
              <w:t>will be forwarded</w:t>
            </w:r>
            <w:proofErr w:type="gramEnd"/>
            <w:r>
              <w:rPr>
                <w:rFonts w:ascii="Arial" w:hAnsi="Arial" w:cs="Arial"/>
              </w:rPr>
              <w:t xml:space="preserve"> directly to the Banner form FOATEXT.</w:t>
            </w:r>
          </w:p>
          <w:p w:rsidR="006E148E" w:rsidRDefault="006E148E" w:rsidP="006E148E">
            <w:pPr>
              <w:numPr>
                <w:ilvl w:val="0"/>
                <w:numId w:val="8"/>
              </w:numPr>
              <w:spacing w:after="120"/>
              <w:rPr>
                <w:rFonts w:ascii="Arial" w:hAnsi="Arial" w:cs="Arial"/>
              </w:rPr>
            </w:pPr>
            <w:r>
              <w:rPr>
                <w:rFonts w:ascii="Arial" w:hAnsi="Arial" w:cs="Arial"/>
              </w:rPr>
              <w:t>Enter Check Remit information that will display on the paper check or direct deposit remittance.</w:t>
            </w:r>
          </w:p>
          <w:p w:rsidR="006E148E" w:rsidRPr="006E148E" w:rsidRDefault="006E148E" w:rsidP="006E148E">
            <w:pPr>
              <w:numPr>
                <w:ilvl w:val="0"/>
                <w:numId w:val="8"/>
              </w:numPr>
              <w:spacing w:after="120"/>
              <w:rPr>
                <w:rFonts w:ascii="Arial" w:hAnsi="Arial" w:cs="Arial"/>
              </w:rPr>
            </w:pPr>
            <w:r w:rsidRPr="006E148E">
              <w:rPr>
                <w:rFonts w:ascii="Arial" w:hAnsi="Arial" w:cs="Arial"/>
              </w:rPr>
              <w:t>Select Moving Yes or No</w:t>
            </w:r>
          </w:p>
          <w:p w:rsidR="00A36734" w:rsidRPr="006E148E" w:rsidRDefault="00A36734" w:rsidP="006E148E">
            <w:pPr>
              <w:pStyle w:val="ListParagraph"/>
              <w:numPr>
                <w:ilvl w:val="0"/>
                <w:numId w:val="9"/>
              </w:numPr>
              <w:rPr>
                <w:rFonts w:ascii="Arial" w:hAnsi="Arial" w:cs="Arial"/>
              </w:rPr>
            </w:pPr>
            <w:r w:rsidRPr="006E148E">
              <w:rPr>
                <w:rFonts w:ascii="Arial" w:hAnsi="Arial" w:cs="Arial"/>
                <w:b/>
              </w:rPr>
              <w:t>If the Answer is YES, Select the New Employee for the drop down list.</w:t>
            </w:r>
          </w:p>
          <w:p w:rsidR="006E148E" w:rsidRPr="006E148E" w:rsidRDefault="006E148E" w:rsidP="006E148E">
            <w:pPr>
              <w:pStyle w:val="ListParagraph"/>
              <w:numPr>
                <w:ilvl w:val="0"/>
                <w:numId w:val="9"/>
              </w:numPr>
              <w:spacing w:after="120"/>
              <w:rPr>
                <w:rFonts w:ascii="Arial" w:hAnsi="Arial" w:cs="Arial"/>
                <w:b/>
              </w:rPr>
            </w:pPr>
            <w:r w:rsidRPr="006E148E">
              <w:rPr>
                <w:rFonts w:ascii="Arial" w:hAnsi="Arial" w:cs="Arial"/>
                <w:b/>
              </w:rPr>
              <w:t>I</w:t>
            </w:r>
            <w:r w:rsidR="00A36734" w:rsidRPr="006E148E">
              <w:rPr>
                <w:rFonts w:ascii="Arial" w:hAnsi="Arial" w:cs="Arial"/>
                <w:b/>
              </w:rPr>
              <w:t>f the Answer is NO, Continue with the Claim Voucher as usual.</w:t>
            </w:r>
          </w:p>
          <w:p w:rsidR="006E148E" w:rsidRPr="006E148E" w:rsidRDefault="006E148E" w:rsidP="006E148E">
            <w:pPr>
              <w:pStyle w:val="ListParagraph"/>
              <w:spacing w:after="120"/>
              <w:ind w:left="1080"/>
              <w:rPr>
                <w:b/>
              </w:rPr>
            </w:pPr>
          </w:p>
          <w:p w:rsidR="00A36734" w:rsidRPr="006E148E" w:rsidRDefault="00A36734" w:rsidP="006E148E">
            <w:pPr>
              <w:pStyle w:val="ListParagraph"/>
              <w:numPr>
                <w:ilvl w:val="0"/>
                <w:numId w:val="11"/>
              </w:numPr>
              <w:spacing w:before="120"/>
              <w:rPr>
                <w:rFonts w:ascii="Arial" w:hAnsi="Arial" w:cs="Arial"/>
              </w:rPr>
            </w:pPr>
            <w:r w:rsidRPr="006E148E">
              <w:rPr>
                <w:rFonts w:ascii="Arial" w:hAnsi="Arial" w:cs="Arial"/>
              </w:rPr>
              <w:t xml:space="preserve">CLICK on </w:t>
            </w:r>
            <w:r w:rsidRPr="006E148E">
              <w:rPr>
                <w:rFonts w:ascii="Arial" w:hAnsi="Arial" w:cs="Arial"/>
                <w:b/>
                <w:bCs/>
              </w:rPr>
              <w:t>SAVE</w:t>
            </w:r>
            <w:r w:rsidRPr="006E148E">
              <w:rPr>
                <w:rFonts w:ascii="Arial" w:hAnsi="Arial" w:cs="Arial"/>
              </w:rPr>
              <w:t xml:space="preserve"> when finished.</w:t>
            </w:r>
          </w:p>
          <w:p w:rsidR="00AE25F3" w:rsidRPr="00365C9F" w:rsidRDefault="00AE25F3">
            <w:pPr>
              <w:rPr>
                <w:noProof/>
              </w:rPr>
            </w:pPr>
          </w:p>
        </w:tc>
      </w:tr>
      <w:tr w:rsidR="00AE25F3" w:rsidRPr="007750F6" w:rsidTr="007750F6">
        <w:tc>
          <w:tcPr>
            <w:tcW w:w="10440" w:type="dxa"/>
            <w:vAlign w:val="center"/>
          </w:tcPr>
          <w:p w:rsidR="006E148E" w:rsidRPr="003D57F8" w:rsidRDefault="006E148E" w:rsidP="006E148E">
            <w:pPr>
              <w:rPr>
                <w:rFonts w:ascii="Arial" w:hAnsi="Arial" w:cs="Arial"/>
                <w:noProof/>
              </w:rPr>
            </w:pPr>
            <w:r w:rsidRPr="003D57F8">
              <w:rPr>
                <w:rFonts w:ascii="Arial" w:hAnsi="Arial" w:cs="Arial"/>
              </w:rPr>
              <w:t xml:space="preserve">Your screen will now add all information.  If any errors occurred, you </w:t>
            </w:r>
            <w:proofErr w:type="gramStart"/>
            <w:r w:rsidRPr="003D57F8">
              <w:rPr>
                <w:rFonts w:ascii="Arial" w:hAnsi="Arial" w:cs="Arial"/>
              </w:rPr>
              <w:t>will not be allowed</w:t>
            </w:r>
            <w:proofErr w:type="gramEnd"/>
            <w:r w:rsidRPr="003D57F8">
              <w:rPr>
                <w:rFonts w:ascii="Arial" w:hAnsi="Arial" w:cs="Arial"/>
              </w:rPr>
              <w:t xml:space="preserve"> to move forward.</w:t>
            </w:r>
            <w:r w:rsidRPr="003D57F8">
              <w:rPr>
                <w:rFonts w:ascii="Arial" w:hAnsi="Arial" w:cs="Arial"/>
                <w:noProof/>
              </w:rPr>
              <w:t xml:space="preserve">  Or if you need to Edit the Header, select Edit the Header and update the information.</w:t>
            </w:r>
          </w:p>
          <w:p w:rsidR="00AE25F3" w:rsidRPr="00365C9F" w:rsidRDefault="00AE25F3">
            <w:pPr>
              <w:rPr>
                <w:noProof/>
              </w:rPr>
            </w:pPr>
          </w:p>
        </w:tc>
      </w:tr>
    </w:tbl>
    <w:p w:rsidR="006E148E" w:rsidRDefault="006E148E">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6E148E" w:rsidRPr="007750F6" w:rsidTr="007750F6">
        <w:tc>
          <w:tcPr>
            <w:tcW w:w="10440" w:type="dxa"/>
            <w:vAlign w:val="center"/>
          </w:tcPr>
          <w:p w:rsidR="006E148E" w:rsidRPr="003D57F8" w:rsidRDefault="006E148E" w:rsidP="006E148E">
            <w:pPr>
              <w:spacing w:after="240"/>
              <w:rPr>
                <w:rFonts w:ascii="Arial" w:hAnsi="Arial" w:cs="Arial"/>
                <w:b/>
                <w:sz w:val="26"/>
                <w:szCs w:val="26"/>
              </w:rPr>
            </w:pPr>
            <w:r w:rsidRPr="003D57F8">
              <w:rPr>
                <w:rFonts w:ascii="Arial" w:hAnsi="Arial" w:cs="Arial"/>
                <w:b/>
                <w:sz w:val="26"/>
                <w:szCs w:val="26"/>
              </w:rPr>
              <w:t>Add Accounting Detail</w:t>
            </w:r>
          </w:p>
          <w:p w:rsidR="006E148E" w:rsidRDefault="006E148E" w:rsidP="006E148E">
            <w:r w:rsidRPr="003D57F8">
              <w:rPr>
                <w:rFonts w:ascii="Arial" w:hAnsi="Arial" w:cs="Arial"/>
              </w:rPr>
              <w:t xml:space="preserve">Select </w:t>
            </w:r>
            <w:r w:rsidRPr="003D57F8">
              <w:rPr>
                <w:rFonts w:ascii="Arial" w:hAnsi="Arial" w:cs="Arial"/>
                <w:b/>
                <w:bCs/>
              </w:rPr>
              <w:t>Add Accounting Line</w:t>
            </w:r>
            <w:r w:rsidRPr="003D57F8">
              <w:rPr>
                <w:rFonts w:ascii="Arial" w:hAnsi="Arial" w:cs="Arial"/>
              </w:rPr>
              <w:t>.</w:t>
            </w:r>
          </w:p>
          <w:p w:rsidR="006E148E" w:rsidRPr="003D57F8" w:rsidRDefault="006E148E" w:rsidP="006E148E">
            <w:pPr>
              <w:rPr>
                <w:rFonts w:ascii="Arial" w:hAnsi="Arial" w:cs="Arial"/>
              </w:rPr>
            </w:pPr>
          </w:p>
        </w:tc>
      </w:tr>
      <w:tr w:rsidR="006E148E" w:rsidRPr="007750F6" w:rsidTr="007750F6">
        <w:tc>
          <w:tcPr>
            <w:tcW w:w="10440" w:type="dxa"/>
            <w:vAlign w:val="center"/>
          </w:tcPr>
          <w:p w:rsidR="006E148E" w:rsidRDefault="006E148E" w:rsidP="006E148E">
            <w:pPr>
              <w:rPr>
                <w:rFonts w:ascii="Arial" w:hAnsi="Arial" w:cs="Arial"/>
              </w:rPr>
            </w:pPr>
            <w:r w:rsidRPr="00365C9F">
              <w:rPr>
                <w:noProof/>
              </w:rPr>
              <w:drawing>
                <wp:inline distT="0" distB="0" distL="0" distR="0">
                  <wp:extent cx="2781300" cy="885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885825"/>
                          </a:xfrm>
                          <a:prstGeom prst="rect">
                            <a:avLst/>
                          </a:prstGeom>
                          <a:noFill/>
                          <a:ln>
                            <a:noFill/>
                          </a:ln>
                        </pic:spPr>
                      </pic:pic>
                    </a:graphicData>
                  </a:graphic>
                </wp:inline>
              </w:drawing>
            </w:r>
          </w:p>
          <w:p w:rsidR="006E148E" w:rsidRPr="003D57F8" w:rsidRDefault="006E148E" w:rsidP="006E148E">
            <w:pPr>
              <w:rPr>
                <w:rFonts w:ascii="Arial" w:hAnsi="Arial" w:cs="Arial"/>
              </w:rPr>
            </w:pPr>
          </w:p>
        </w:tc>
      </w:tr>
      <w:tr w:rsidR="006E148E" w:rsidRPr="007750F6" w:rsidTr="007750F6">
        <w:tc>
          <w:tcPr>
            <w:tcW w:w="10440" w:type="dxa"/>
            <w:vAlign w:val="center"/>
          </w:tcPr>
          <w:p w:rsidR="006E148E" w:rsidRPr="0057277D" w:rsidRDefault="006E148E" w:rsidP="0057277D">
            <w:pPr>
              <w:pStyle w:val="ListParagraph"/>
              <w:numPr>
                <w:ilvl w:val="0"/>
                <w:numId w:val="13"/>
              </w:numPr>
              <w:spacing w:before="120" w:after="120"/>
              <w:rPr>
                <w:rFonts w:ascii="Arial" w:hAnsi="Arial" w:cs="Arial"/>
              </w:rPr>
            </w:pPr>
            <w:r w:rsidRPr="0057277D">
              <w:rPr>
                <w:rFonts w:ascii="Arial" w:hAnsi="Arial" w:cs="Arial"/>
              </w:rPr>
              <w:t>Select the Moving Expense Commodity Code that best describes the Payment.</w:t>
            </w:r>
          </w:p>
          <w:p w:rsidR="006E148E" w:rsidRPr="0057277D" w:rsidRDefault="006E148E" w:rsidP="0057277D">
            <w:pPr>
              <w:pStyle w:val="ListParagraph"/>
              <w:spacing w:before="120" w:after="120"/>
              <w:rPr>
                <w:rFonts w:ascii="Arial" w:hAnsi="Arial" w:cs="Arial"/>
                <w:sz w:val="12"/>
                <w:szCs w:val="12"/>
              </w:rPr>
            </w:pPr>
          </w:p>
          <w:p w:rsidR="006E148E" w:rsidRPr="0057277D" w:rsidRDefault="006E148E" w:rsidP="0057277D">
            <w:pPr>
              <w:pStyle w:val="ListParagraph"/>
              <w:numPr>
                <w:ilvl w:val="0"/>
                <w:numId w:val="14"/>
              </w:numPr>
              <w:spacing w:before="120"/>
              <w:rPr>
                <w:rFonts w:ascii="Arial" w:hAnsi="Arial" w:cs="Arial"/>
              </w:rPr>
            </w:pPr>
            <w:r w:rsidRPr="0057277D">
              <w:rPr>
                <w:rFonts w:ascii="Arial" w:hAnsi="Arial" w:cs="Arial"/>
                <w:b/>
              </w:rPr>
              <w:t xml:space="preserve">If the Claim Voucher </w:t>
            </w:r>
            <w:proofErr w:type="gramStart"/>
            <w:r w:rsidRPr="0057277D">
              <w:rPr>
                <w:rFonts w:ascii="Arial" w:hAnsi="Arial" w:cs="Arial"/>
                <w:b/>
              </w:rPr>
              <w:t>has been selected</w:t>
            </w:r>
            <w:proofErr w:type="gramEnd"/>
            <w:r w:rsidRPr="0057277D">
              <w:rPr>
                <w:rFonts w:ascii="Arial" w:hAnsi="Arial" w:cs="Arial"/>
                <w:b/>
              </w:rPr>
              <w:t xml:space="preserve"> as Moving Expenses, only the Moving Commodity Code will be available for the selection.</w:t>
            </w:r>
          </w:p>
          <w:p w:rsidR="006E148E" w:rsidRPr="0057277D" w:rsidRDefault="006E148E" w:rsidP="0057277D">
            <w:pPr>
              <w:pStyle w:val="ListParagraph"/>
              <w:numPr>
                <w:ilvl w:val="0"/>
                <w:numId w:val="14"/>
              </w:numPr>
              <w:rPr>
                <w:rFonts w:ascii="Arial" w:hAnsi="Arial" w:cs="Arial"/>
                <w:b/>
              </w:rPr>
            </w:pPr>
            <w:r w:rsidRPr="0057277D">
              <w:rPr>
                <w:rFonts w:ascii="Arial" w:hAnsi="Arial" w:cs="Arial"/>
                <w:b/>
              </w:rPr>
              <w:t>If the Claim Voucher is not a Moving document, all of the remaining commodities will be available for selection.</w:t>
            </w:r>
          </w:p>
          <w:p w:rsidR="0057277D" w:rsidRPr="006E148E" w:rsidRDefault="0057277D" w:rsidP="0057277D">
            <w:pPr>
              <w:pStyle w:val="ListParagraph"/>
              <w:ind w:left="1080"/>
              <w:rPr>
                <w:rFonts w:ascii="Arial" w:hAnsi="Arial" w:cs="Arial"/>
                <w:b/>
              </w:rPr>
            </w:pPr>
          </w:p>
          <w:p w:rsidR="0057277D" w:rsidRPr="0057277D" w:rsidRDefault="00EB5643" w:rsidP="00EB5643">
            <w:pPr>
              <w:pStyle w:val="ListParagraph"/>
              <w:spacing w:after="120"/>
              <w:rPr>
                <w:rFonts w:ascii="Arial" w:hAnsi="Arial" w:cs="Arial"/>
              </w:rPr>
            </w:pPr>
            <w:r w:rsidRPr="00EB5643">
              <w:rPr>
                <w:rFonts w:ascii="Arial" w:hAnsi="Arial" w:cs="Arial"/>
                <w:b/>
              </w:rPr>
              <w:t>Note</w:t>
            </w:r>
            <w:r>
              <w:rPr>
                <w:rFonts w:ascii="Arial" w:hAnsi="Arial" w:cs="Arial"/>
              </w:rPr>
              <w:t>: T</w:t>
            </w:r>
            <w:r w:rsidR="006E148E" w:rsidRPr="0057277D">
              <w:rPr>
                <w:rFonts w:ascii="Arial" w:hAnsi="Arial" w:cs="Arial"/>
              </w:rPr>
              <w:t>he commodity codes are for reporting purposes and are a requirement.  (See Additional Information regarding Claim Vouchers)</w:t>
            </w:r>
          </w:p>
          <w:p w:rsidR="0057277D" w:rsidRPr="0057277D" w:rsidRDefault="0057277D" w:rsidP="0057277D">
            <w:pPr>
              <w:pStyle w:val="ListParagraph"/>
              <w:spacing w:after="120"/>
              <w:rPr>
                <w:rFonts w:ascii="Arial" w:hAnsi="Arial" w:cs="Arial"/>
                <w:sz w:val="12"/>
                <w:szCs w:val="12"/>
              </w:rPr>
            </w:pPr>
          </w:p>
          <w:p w:rsidR="0057277D" w:rsidRPr="0057277D" w:rsidRDefault="006E148E" w:rsidP="0057277D">
            <w:pPr>
              <w:pStyle w:val="ListParagraph"/>
              <w:numPr>
                <w:ilvl w:val="0"/>
                <w:numId w:val="13"/>
              </w:numPr>
              <w:spacing w:after="120"/>
              <w:rPr>
                <w:rFonts w:ascii="Arial" w:hAnsi="Arial" w:cs="Arial"/>
              </w:rPr>
            </w:pPr>
            <w:r w:rsidRPr="0057277D">
              <w:rPr>
                <w:rFonts w:ascii="Arial" w:hAnsi="Arial" w:cs="Arial"/>
              </w:rPr>
              <w:t>If you are using a Budget or Index to pay for the expenditure, Select Budget and continue to complete the i</w:t>
            </w:r>
            <w:r w:rsidR="0057277D">
              <w:rPr>
                <w:rFonts w:ascii="Arial" w:hAnsi="Arial" w:cs="Arial"/>
              </w:rPr>
              <w:t>nformation including the amount.</w:t>
            </w:r>
          </w:p>
          <w:p w:rsidR="0057277D" w:rsidRPr="0057277D" w:rsidRDefault="0057277D" w:rsidP="0057277D">
            <w:pPr>
              <w:pStyle w:val="ListParagraph"/>
              <w:spacing w:after="120"/>
              <w:rPr>
                <w:rFonts w:ascii="Arial" w:hAnsi="Arial" w:cs="Arial"/>
                <w:sz w:val="12"/>
                <w:szCs w:val="12"/>
              </w:rPr>
            </w:pPr>
          </w:p>
          <w:p w:rsidR="0057277D" w:rsidRPr="0057277D" w:rsidRDefault="006E148E" w:rsidP="0057277D">
            <w:pPr>
              <w:pStyle w:val="ListParagraph"/>
              <w:numPr>
                <w:ilvl w:val="0"/>
                <w:numId w:val="13"/>
              </w:numPr>
              <w:spacing w:after="120"/>
              <w:rPr>
                <w:rFonts w:ascii="Arial" w:hAnsi="Arial" w:cs="Arial"/>
              </w:rPr>
            </w:pPr>
            <w:r w:rsidRPr="0057277D">
              <w:rPr>
                <w:rFonts w:ascii="Arial" w:hAnsi="Arial" w:cs="Arial"/>
              </w:rPr>
              <w:t xml:space="preserve">If you are posting to a General Ledger Account, Select GL Account and enter the Fund and Account Information including the amount. </w:t>
            </w:r>
          </w:p>
          <w:p w:rsidR="0057277D" w:rsidRPr="0057277D" w:rsidRDefault="0057277D" w:rsidP="0057277D">
            <w:pPr>
              <w:pStyle w:val="ListParagraph"/>
              <w:spacing w:after="120"/>
              <w:rPr>
                <w:rFonts w:ascii="Arial" w:hAnsi="Arial" w:cs="Arial"/>
                <w:sz w:val="12"/>
                <w:szCs w:val="12"/>
              </w:rPr>
            </w:pPr>
          </w:p>
          <w:p w:rsidR="006E148E" w:rsidRPr="0057277D" w:rsidRDefault="006E148E" w:rsidP="0057277D">
            <w:pPr>
              <w:pStyle w:val="ListParagraph"/>
              <w:numPr>
                <w:ilvl w:val="0"/>
                <w:numId w:val="13"/>
              </w:numPr>
              <w:spacing w:after="120"/>
              <w:rPr>
                <w:rFonts w:ascii="Arial" w:hAnsi="Arial" w:cs="Arial"/>
              </w:rPr>
            </w:pPr>
            <w:r w:rsidRPr="0057277D">
              <w:rPr>
                <w:rFonts w:ascii="Arial" w:hAnsi="Arial" w:cs="Arial"/>
              </w:rPr>
              <w:t>If you need to split the accounting, add additional accounting lines that should total the amount listed in the Header Information.</w:t>
            </w:r>
          </w:p>
          <w:p w:rsidR="006E148E" w:rsidRPr="003D57F8" w:rsidRDefault="006E148E" w:rsidP="0057277D">
            <w:pPr>
              <w:rPr>
                <w:rFonts w:ascii="Arial" w:hAnsi="Arial" w:cs="Arial"/>
              </w:rPr>
            </w:pPr>
          </w:p>
        </w:tc>
      </w:tr>
      <w:tr w:rsidR="006E148E" w:rsidRPr="007750F6" w:rsidTr="007750F6">
        <w:tc>
          <w:tcPr>
            <w:tcW w:w="10440" w:type="dxa"/>
            <w:vAlign w:val="center"/>
          </w:tcPr>
          <w:p w:rsidR="006E148E" w:rsidRDefault="0057277D" w:rsidP="006E148E">
            <w:pPr>
              <w:rPr>
                <w:rFonts w:ascii="Arial" w:hAnsi="Arial" w:cs="Arial"/>
              </w:rPr>
            </w:pPr>
            <w:r w:rsidRPr="00365C9F">
              <w:rPr>
                <w:noProof/>
              </w:rPr>
              <w:drawing>
                <wp:inline distT="0" distB="0" distL="0" distR="0">
                  <wp:extent cx="4210050" cy="3302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2770" cy="3304308"/>
                          </a:xfrm>
                          <a:prstGeom prst="rect">
                            <a:avLst/>
                          </a:prstGeom>
                          <a:noFill/>
                          <a:ln>
                            <a:noFill/>
                          </a:ln>
                        </pic:spPr>
                      </pic:pic>
                    </a:graphicData>
                  </a:graphic>
                </wp:inline>
              </w:drawing>
            </w:r>
          </w:p>
          <w:p w:rsidR="0057277D" w:rsidRPr="003D57F8" w:rsidRDefault="0057277D" w:rsidP="006E148E">
            <w:pPr>
              <w:rPr>
                <w:rFonts w:ascii="Arial" w:hAnsi="Arial" w:cs="Arial"/>
              </w:rPr>
            </w:pPr>
          </w:p>
        </w:tc>
      </w:tr>
      <w:tr w:rsidR="006E148E" w:rsidRPr="007750F6" w:rsidTr="007750F6">
        <w:tc>
          <w:tcPr>
            <w:tcW w:w="10440" w:type="dxa"/>
            <w:vAlign w:val="center"/>
          </w:tcPr>
          <w:p w:rsidR="00EB5643" w:rsidRDefault="00EB5643" w:rsidP="0057277D">
            <w:pPr>
              <w:spacing w:before="120" w:after="120"/>
              <w:rPr>
                <w:rFonts w:ascii="Arial" w:hAnsi="Arial" w:cs="Arial"/>
                <w:b/>
                <w:bCs/>
              </w:rPr>
            </w:pPr>
            <w:r>
              <w:rPr>
                <w:rFonts w:ascii="Arial" w:hAnsi="Arial" w:cs="Arial"/>
              </w:rPr>
              <w:t>Select</w:t>
            </w:r>
            <w:r w:rsidR="0057277D" w:rsidRPr="009710EB">
              <w:rPr>
                <w:rFonts w:ascii="Arial" w:hAnsi="Arial" w:cs="Arial"/>
              </w:rPr>
              <w:t xml:space="preserve"> </w:t>
            </w:r>
            <w:r w:rsidR="0057277D" w:rsidRPr="009710EB">
              <w:rPr>
                <w:rFonts w:ascii="Arial" w:hAnsi="Arial" w:cs="Arial"/>
                <w:b/>
                <w:bCs/>
              </w:rPr>
              <w:t>Save</w:t>
            </w:r>
          </w:p>
          <w:p w:rsidR="006E148E" w:rsidRPr="00EB5643" w:rsidRDefault="0057277D" w:rsidP="00EB5643">
            <w:pPr>
              <w:spacing w:before="120" w:after="120"/>
              <w:rPr>
                <w:rFonts w:ascii="Arial" w:hAnsi="Arial" w:cs="Arial"/>
                <w:bCs/>
              </w:rPr>
            </w:pPr>
            <w:r w:rsidRPr="009710EB">
              <w:rPr>
                <w:rFonts w:ascii="Arial" w:hAnsi="Arial" w:cs="Arial"/>
                <w:bCs/>
              </w:rPr>
              <w:t>It will return you to the Claim Voucher Summary Page</w:t>
            </w:r>
          </w:p>
        </w:tc>
      </w:tr>
    </w:tbl>
    <w:p w:rsidR="00EB5643" w:rsidRDefault="00EB5643">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EB5643" w:rsidRPr="007750F6" w:rsidTr="007750F6">
        <w:tc>
          <w:tcPr>
            <w:tcW w:w="10440" w:type="dxa"/>
            <w:vAlign w:val="center"/>
          </w:tcPr>
          <w:p w:rsidR="00EB5643" w:rsidRDefault="00EB5643" w:rsidP="00EB5643">
            <w:pPr>
              <w:spacing w:after="120"/>
              <w:rPr>
                <w:rFonts w:ascii="Arial" w:hAnsi="Arial" w:cs="Arial"/>
              </w:rPr>
            </w:pPr>
            <w:r w:rsidRPr="00EB5643">
              <w:rPr>
                <w:rFonts w:ascii="Arial" w:hAnsi="Arial" w:cs="Arial"/>
                <w:b/>
                <w:u w:val="single"/>
              </w:rPr>
              <w:t>Add comments</w:t>
            </w:r>
            <w:r>
              <w:rPr>
                <w:rFonts w:ascii="Arial" w:hAnsi="Arial" w:cs="Arial"/>
                <w:b/>
              </w:rPr>
              <w:t xml:space="preserve"> </w:t>
            </w:r>
            <w:r w:rsidRPr="009710EB">
              <w:rPr>
                <w:rFonts w:ascii="Arial" w:hAnsi="Arial" w:cs="Arial"/>
              </w:rPr>
              <w:t xml:space="preserve">to identify the individual moving expenses, or attach a summarized </w:t>
            </w:r>
            <w:proofErr w:type="gramStart"/>
            <w:r w:rsidRPr="009710EB">
              <w:rPr>
                <w:rFonts w:ascii="Arial" w:hAnsi="Arial" w:cs="Arial"/>
              </w:rPr>
              <w:t>spread sheet</w:t>
            </w:r>
            <w:proofErr w:type="gramEnd"/>
            <w:r w:rsidRPr="009710EB">
              <w:rPr>
                <w:rFonts w:ascii="Arial" w:hAnsi="Arial" w:cs="Arial"/>
              </w:rPr>
              <w:t xml:space="preserve"> of the expenses.</w:t>
            </w:r>
            <w:r w:rsidRPr="009710EB">
              <w:rPr>
                <w:rFonts w:ascii="Arial" w:hAnsi="Arial" w:cs="Arial"/>
                <w:b/>
              </w:rPr>
              <w:t xml:space="preserve"> Please be sure to clearly identifying the amounts and types of expenses</w:t>
            </w:r>
            <w:r>
              <w:rPr>
                <w:rFonts w:ascii="Arial" w:hAnsi="Arial" w:cs="Arial"/>
              </w:rPr>
              <w:t>.</w:t>
            </w:r>
          </w:p>
          <w:p w:rsidR="00EB5643" w:rsidRPr="00EB5643" w:rsidRDefault="00EB5643" w:rsidP="00EB5643">
            <w:pPr>
              <w:spacing w:after="120"/>
              <w:rPr>
                <w:rFonts w:ascii="Arial" w:hAnsi="Arial" w:cs="Arial"/>
                <w:i/>
                <w:u w:val="single"/>
              </w:rPr>
            </w:pPr>
            <w:r w:rsidRPr="00EB5643">
              <w:rPr>
                <w:rFonts w:ascii="Arial" w:hAnsi="Arial" w:cs="Arial"/>
                <w:i/>
                <w:u w:val="single"/>
              </w:rPr>
              <w:t>Identify:</w:t>
            </w:r>
          </w:p>
          <w:p w:rsidR="00EB5643" w:rsidRPr="00EB5643" w:rsidRDefault="00EB5643" w:rsidP="00EB5643">
            <w:pPr>
              <w:pStyle w:val="ListParagraph"/>
              <w:numPr>
                <w:ilvl w:val="0"/>
                <w:numId w:val="15"/>
              </w:numPr>
              <w:spacing w:after="120"/>
              <w:rPr>
                <w:rFonts w:ascii="Arial" w:hAnsi="Arial" w:cs="Arial"/>
              </w:rPr>
            </w:pPr>
            <w:r w:rsidRPr="00EB5643">
              <w:rPr>
                <w:rFonts w:ascii="Arial" w:hAnsi="Arial" w:cs="Arial"/>
              </w:rPr>
              <w:t>Whether it is house hunting or during the actual move.</w:t>
            </w:r>
          </w:p>
          <w:p w:rsidR="00EB5643" w:rsidRPr="00EB5643" w:rsidRDefault="00EB5643" w:rsidP="00EB5643">
            <w:pPr>
              <w:pStyle w:val="ListParagraph"/>
              <w:numPr>
                <w:ilvl w:val="0"/>
                <w:numId w:val="15"/>
              </w:numPr>
              <w:spacing w:after="120"/>
              <w:rPr>
                <w:rFonts w:ascii="Arial" w:hAnsi="Arial" w:cs="Arial"/>
              </w:rPr>
            </w:pPr>
            <w:r w:rsidRPr="00EB5643">
              <w:rPr>
                <w:rFonts w:ascii="Arial" w:hAnsi="Arial" w:cs="Arial"/>
              </w:rPr>
              <w:t>Fuel receipts indicating which vehicle.</w:t>
            </w:r>
          </w:p>
          <w:p w:rsidR="00EB5643" w:rsidRPr="00EB5643" w:rsidRDefault="00EB5643" w:rsidP="00EB5643">
            <w:pPr>
              <w:pStyle w:val="ListParagraph"/>
              <w:numPr>
                <w:ilvl w:val="0"/>
                <w:numId w:val="15"/>
              </w:numPr>
              <w:spacing w:after="120"/>
              <w:rPr>
                <w:rFonts w:ascii="Arial" w:hAnsi="Arial" w:cs="Arial"/>
              </w:rPr>
            </w:pPr>
            <w:r w:rsidRPr="00EB5643">
              <w:rPr>
                <w:rFonts w:ascii="Arial" w:hAnsi="Arial" w:cs="Arial"/>
              </w:rPr>
              <w:t>Lodging or temporary housing and storage.</w:t>
            </w:r>
          </w:p>
          <w:p w:rsidR="00EB5643" w:rsidRPr="00EB5643" w:rsidRDefault="00EB5643" w:rsidP="00EB5643">
            <w:pPr>
              <w:pStyle w:val="ListParagraph"/>
              <w:numPr>
                <w:ilvl w:val="0"/>
                <w:numId w:val="15"/>
              </w:numPr>
              <w:spacing w:after="120"/>
              <w:rPr>
                <w:rFonts w:ascii="Arial" w:hAnsi="Arial" w:cs="Arial"/>
              </w:rPr>
            </w:pPr>
            <w:r w:rsidRPr="00EB5643">
              <w:rPr>
                <w:rFonts w:ascii="Arial" w:hAnsi="Arial" w:cs="Arial"/>
              </w:rPr>
              <w:t xml:space="preserve">Truck Rental and supplies.  </w:t>
            </w:r>
          </w:p>
          <w:p w:rsidR="00EB5643" w:rsidRDefault="00EB5643" w:rsidP="00EB5643">
            <w:pPr>
              <w:spacing w:before="120" w:after="120"/>
              <w:rPr>
                <w:rFonts w:ascii="Arial" w:hAnsi="Arial" w:cs="Arial"/>
              </w:rPr>
            </w:pPr>
            <w:r w:rsidRPr="009710EB">
              <w:rPr>
                <w:rFonts w:ascii="Arial" w:hAnsi="Arial" w:cs="Arial"/>
              </w:rPr>
              <w:t>The information is necessary to determine the taxable portions of the move to the new employee.</w:t>
            </w:r>
          </w:p>
          <w:p w:rsidR="00EB5643" w:rsidRPr="00EB5643" w:rsidRDefault="00EB5643" w:rsidP="00EB5643">
            <w:pPr>
              <w:rPr>
                <w:rFonts w:ascii="Arial" w:hAnsi="Arial" w:cs="Arial"/>
                <w:bCs/>
              </w:rPr>
            </w:pPr>
          </w:p>
        </w:tc>
      </w:tr>
      <w:tr w:rsidR="006E148E" w:rsidRPr="007750F6" w:rsidTr="007750F6">
        <w:tc>
          <w:tcPr>
            <w:tcW w:w="10440" w:type="dxa"/>
            <w:vAlign w:val="center"/>
          </w:tcPr>
          <w:p w:rsidR="006E148E" w:rsidRDefault="00EB5643" w:rsidP="006E148E">
            <w:pPr>
              <w:rPr>
                <w:rFonts w:ascii="Arial" w:hAnsi="Arial" w:cs="Arial"/>
              </w:rPr>
            </w:pPr>
            <w:r w:rsidRPr="00365C9F">
              <w:rPr>
                <w:noProof/>
              </w:rPr>
              <w:drawing>
                <wp:inline distT="0" distB="0" distL="0" distR="0">
                  <wp:extent cx="5486400" cy="413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4133850"/>
                          </a:xfrm>
                          <a:prstGeom prst="rect">
                            <a:avLst/>
                          </a:prstGeom>
                          <a:noFill/>
                          <a:ln>
                            <a:noFill/>
                          </a:ln>
                        </pic:spPr>
                      </pic:pic>
                    </a:graphicData>
                  </a:graphic>
                </wp:inline>
              </w:drawing>
            </w:r>
          </w:p>
          <w:p w:rsidR="00EB5643" w:rsidRPr="003D57F8" w:rsidRDefault="00EB5643" w:rsidP="006E148E">
            <w:pPr>
              <w:rPr>
                <w:rFonts w:ascii="Arial" w:hAnsi="Arial" w:cs="Arial"/>
              </w:rPr>
            </w:pPr>
          </w:p>
        </w:tc>
      </w:tr>
      <w:tr w:rsidR="00EB5643" w:rsidRPr="007750F6" w:rsidTr="007750F6">
        <w:tc>
          <w:tcPr>
            <w:tcW w:w="10440" w:type="dxa"/>
            <w:vAlign w:val="center"/>
          </w:tcPr>
          <w:p w:rsidR="00EB5643" w:rsidRDefault="00EB5643" w:rsidP="00EB5643">
            <w:pPr>
              <w:spacing w:before="120"/>
              <w:rPr>
                <w:rFonts w:ascii="Arial" w:hAnsi="Arial" w:cs="Arial"/>
              </w:rPr>
            </w:pPr>
            <w:r>
              <w:rPr>
                <w:rFonts w:ascii="Arial" w:hAnsi="Arial" w:cs="Arial"/>
              </w:rPr>
              <w:t xml:space="preserve">Select </w:t>
            </w:r>
            <w:r w:rsidRPr="00EB5643">
              <w:rPr>
                <w:rFonts w:ascii="Arial" w:hAnsi="Arial" w:cs="Arial"/>
                <w:b/>
              </w:rPr>
              <w:t>Save Comment</w:t>
            </w:r>
          </w:p>
          <w:p w:rsidR="00EB5643" w:rsidRPr="0097498A" w:rsidRDefault="00EB5643" w:rsidP="00EB5643">
            <w:pPr>
              <w:spacing w:before="120"/>
              <w:rPr>
                <w:rFonts w:ascii="Arial" w:hAnsi="Arial" w:cs="Arial"/>
                <w:bCs/>
              </w:rPr>
            </w:pPr>
            <w:r w:rsidRPr="0097498A">
              <w:rPr>
                <w:rFonts w:ascii="Arial" w:hAnsi="Arial" w:cs="Arial"/>
                <w:bCs/>
              </w:rPr>
              <w:t>It will return you to the Claim Voucher Summary Page</w:t>
            </w:r>
          </w:p>
          <w:p w:rsidR="00EB5643" w:rsidRPr="003D57F8" w:rsidRDefault="00EB5643" w:rsidP="006E148E">
            <w:pPr>
              <w:rPr>
                <w:rFonts w:ascii="Arial" w:hAnsi="Arial" w:cs="Arial"/>
              </w:rPr>
            </w:pPr>
          </w:p>
        </w:tc>
      </w:tr>
    </w:tbl>
    <w:p w:rsidR="00FA474A" w:rsidRDefault="00FA474A">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EB5643" w:rsidRPr="007750F6" w:rsidTr="007750F6">
        <w:tc>
          <w:tcPr>
            <w:tcW w:w="10440" w:type="dxa"/>
            <w:vAlign w:val="center"/>
          </w:tcPr>
          <w:p w:rsidR="00EB5643" w:rsidRPr="00EB5643" w:rsidRDefault="00EB5643" w:rsidP="00EB5643">
            <w:pPr>
              <w:spacing w:before="120" w:after="120"/>
              <w:rPr>
                <w:rFonts w:ascii="Arial" w:hAnsi="Arial" w:cs="Arial"/>
                <w:b/>
              </w:rPr>
            </w:pPr>
            <w:r w:rsidRPr="00EB5643">
              <w:rPr>
                <w:rFonts w:ascii="Arial" w:hAnsi="Arial" w:cs="Arial"/>
                <w:b/>
                <w:u w:val="single"/>
              </w:rPr>
              <w:t>Attach Images</w:t>
            </w:r>
            <w:r w:rsidRPr="00EB5643">
              <w:rPr>
                <w:rFonts w:ascii="Arial" w:hAnsi="Arial" w:cs="Arial"/>
                <w:b/>
              </w:rPr>
              <w:t>:</w:t>
            </w:r>
            <w:r w:rsidRPr="00EB5643">
              <w:rPr>
                <w:rFonts w:ascii="Arial" w:hAnsi="Arial" w:cs="Arial"/>
              </w:rPr>
              <w:t xml:space="preserve"> Select </w:t>
            </w:r>
            <w:r w:rsidRPr="00EB5643">
              <w:rPr>
                <w:rFonts w:ascii="Arial" w:hAnsi="Arial" w:cs="Arial"/>
                <w:b/>
              </w:rPr>
              <w:t>Attach Image</w:t>
            </w:r>
          </w:p>
        </w:tc>
      </w:tr>
      <w:tr w:rsidR="00EB5643" w:rsidRPr="007750F6" w:rsidTr="007750F6">
        <w:tc>
          <w:tcPr>
            <w:tcW w:w="10440" w:type="dxa"/>
            <w:vAlign w:val="center"/>
          </w:tcPr>
          <w:p w:rsidR="00EB5643" w:rsidRDefault="00EB5643" w:rsidP="006E148E">
            <w:pPr>
              <w:rPr>
                <w:rFonts w:ascii="Arial" w:hAnsi="Arial" w:cs="Arial"/>
              </w:rPr>
            </w:pPr>
          </w:p>
          <w:p w:rsidR="00EB5643" w:rsidRDefault="00EB5643" w:rsidP="006E148E">
            <w:pPr>
              <w:rPr>
                <w:rFonts w:ascii="Arial" w:hAnsi="Arial" w:cs="Arial"/>
              </w:rPr>
            </w:pPr>
            <w:r w:rsidRPr="00365C9F">
              <w:rPr>
                <w:noProof/>
              </w:rPr>
              <w:drawing>
                <wp:inline distT="0" distB="0" distL="0" distR="0" wp14:anchorId="3454EDD6" wp14:editId="3934F080">
                  <wp:extent cx="2943225" cy="15811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3225" cy="1581150"/>
                          </a:xfrm>
                          <a:prstGeom prst="rect">
                            <a:avLst/>
                          </a:prstGeom>
                          <a:noFill/>
                          <a:ln>
                            <a:noFill/>
                          </a:ln>
                        </pic:spPr>
                      </pic:pic>
                    </a:graphicData>
                  </a:graphic>
                </wp:inline>
              </w:drawing>
            </w:r>
          </w:p>
          <w:p w:rsidR="00EB5643" w:rsidRPr="003D57F8" w:rsidRDefault="00EB5643" w:rsidP="006E148E">
            <w:pPr>
              <w:rPr>
                <w:rFonts w:ascii="Arial" w:hAnsi="Arial" w:cs="Arial"/>
              </w:rPr>
            </w:pPr>
          </w:p>
        </w:tc>
      </w:tr>
      <w:tr w:rsidR="00EB5643" w:rsidRPr="007750F6" w:rsidTr="007750F6">
        <w:tc>
          <w:tcPr>
            <w:tcW w:w="10440" w:type="dxa"/>
            <w:vAlign w:val="center"/>
          </w:tcPr>
          <w:p w:rsidR="00FA474A" w:rsidRPr="00381263" w:rsidRDefault="00FA474A" w:rsidP="00FA474A">
            <w:pPr>
              <w:rPr>
                <w:rFonts w:ascii="Arial" w:hAnsi="Arial" w:cs="Arial"/>
                <w:b/>
                <w:bCs/>
              </w:rPr>
            </w:pPr>
            <w:r w:rsidRPr="00381263">
              <w:rPr>
                <w:rFonts w:ascii="Arial" w:hAnsi="Arial" w:cs="Arial"/>
              </w:rPr>
              <w:t xml:space="preserve">Browse to locate the PDF file of the support document to </w:t>
            </w:r>
            <w:proofErr w:type="gramStart"/>
            <w:r w:rsidRPr="00381263">
              <w:rPr>
                <w:rFonts w:ascii="Arial" w:hAnsi="Arial" w:cs="Arial"/>
              </w:rPr>
              <w:t>be attached</w:t>
            </w:r>
            <w:proofErr w:type="gramEnd"/>
            <w:r w:rsidRPr="00381263">
              <w:rPr>
                <w:rFonts w:ascii="Arial" w:hAnsi="Arial" w:cs="Arial"/>
              </w:rPr>
              <w:t xml:space="preserve"> to the Claim Voucher form.</w:t>
            </w:r>
          </w:p>
          <w:p w:rsidR="00FA474A" w:rsidRDefault="00FA474A" w:rsidP="00FA474A">
            <w:pPr>
              <w:rPr>
                <w:rFonts w:ascii="Arial" w:hAnsi="Arial" w:cs="Arial"/>
              </w:rPr>
            </w:pPr>
          </w:p>
          <w:p w:rsidR="00FA474A" w:rsidRPr="00381263" w:rsidRDefault="00FA474A" w:rsidP="00FA474A">
            <w:pPr>
              <w:rPr>
                <w:rFonts w:ascii="Arial" w:hAnsi="Arial" w:cs="Arial"/>
                <w:b/>
                <w:bCs/>
              </w:rPr>
            </w:pPr>
            <w:r w:rsidRPr="00381263">
              <w:rPr>
                <w:rFonts w:ascii="Arial" w:hAnsi="Arial" w:cs="Arial"/>
              </w:rPr>
              <w:t xml:space="preserve">After </w:t>
            </w:r>
            <w:r>
              <w:rPr>
                <w:rFonts w:ascii="Arial" w:hAnsi="Arial" w:cs="Arial"/>
              </w:rPr>
              <w:t>the form has been located, select</w:t>
            </w:r>
            <w:r w:rsidRPr="00381263">
              <w:rPr>
                <w:rFonts w:ascii="Arial" w:hAnsi="Arial" w:cs="Arial"/>
              </w:rPr>
              <w:t xml:space="preserve"> </w:t>
            </w:r>
            <w:r w:rsidRPr="00381263">
              <w:rPr>
                <w:rFonts w:ascii="Arial" w:hAnsi="Arial" w:cs="Arial"/>
                <w:b/>
              </w:rPr>
              <w:t>UPLOAD</w:t>
            </w:r>
            <w:r w:rsidRPr="00381263">
              <w:rPr>
                <w:rFonts w:ascii="Arial" w:hAnsi="Arial" w:cs="Arial"/>
              </w:rPr>
              <w:t xml:space="preserve"> to attach it to the Claim Voucher Form</w:t>
            </w:r>
          </w:p>
          <w:p w:rsidR="00FA474A" w:rsidRDefault="00FA474A" w:rsidP="00FA474A">
            <w:pPr>
              <w:rPr>
                <w:rFonts w:ascii="Arial" w:hAnsi="Arial" w:cs="Arial"/>
              </w:rPr>
            </w:pPr>
          </w:p>
          <w:p w:rsidR="00FA474A" w:rsidRDefault="00FA474A" w:rsidP="00FA474A">
            <w:pPr>
              <w:rPr>
                <w:rFonts w:ascii="Arial" w:hAnsi="Arial" w:cs="Arial"/>
              </w:rPr>
            </w:pPr>
            <w:r w:rsidRPr="00381263">
              <w:rPr>
                <w:rFonts w:ascii="Arial" w:hAnsi="Arial" w:cs="Arial"/>
              </w:rPr>
              <w:t>It will return you to the Claim Voucher Summary Page</w:t>
            </w:r>
          </w:p>
          <w:p w:rsidR="00FA474A" w:rsidRDefault="00FA474A" w:rsidP="00FA474A">
            <w:pPr>
              <w:rPr>
                <w:rFonts w:ascii="Arial" w:hAnsi="Arial" w:cs="Arial"/>
              </w:rPr>
            </w:pPr>
          </w:p>
          <w:p w:rsidR="00FA474A" w:rsidRPr="00381263" w:rsidRDefault="00FA474A" w:rsidP="00FA474A">
            <w:pPr>
              <w:rPr>
                <w:rFonts w:ascii="Arial" w:hAnsi="Arial" w:cs="Arial"/>
                <w:b/>
                <w:bCs/>
              </w:rPr>
            </w:pPr>
            <w:r>
              <w:rPr>
                <w:rFonts w:ascii="Arial" w:hAnsi="Arial" w:cs="Arial"/>
              </w:rPr>
              <w:t>Select</w:t>
            </w:r>
            <w:r w:rsidRPr="00381263">
              <w:rPr>
                <w:rFonts w:ascii="Arial" w:hAnsi="Arial" w:cs="Arial"/>
              </w:rPr>
              <w:t xml:space="preserve"> </w:t>
            </w:r>
            <w:r w:rsidRPr="00381263">
              <w:rPr>
                <w:rFonts w:ascii="Arial" w:hAnsi="Arial" w:cs="Arial"/>
                <w:b/>
                <w:bCs/>
              </w:rPr>
              <w:t>SUBMIT</w:t>
            </w:r>
            <w:r>
              <w:rPr>
                <w:b/>
                <w:bCs/>
              </w:rPr>
              <w:t xml:space="preserve">   </w:t>
            </w:r>
            <w:r w:rsidRPr="00381263">
              <w:rPr>
                <w:rFonts w:ascii="Arial" w:hAnsi="Arial" w:cs="Arial"/>
                <w:bCs/>
              </w:rPr>
              <w:t>to complete the claim voucher.</w:t>
            </w:r>
            <w:r>
              <w:rPr>
                <w:b/>
                <w:bCs/>
              </w:rPr>
              <w:br/>
            </w:r>
          </w:p>
          <w:p w:rsidR="00EB5643" w:rsidRPr="003D57F8" w:rsidRDefault="00EB5643" w:rsidP="006E148E">
            <w:pPr>
              <w:rPr>
                <w:rFonts w:ascii="Arial" w:hAnsi="Arial" w:cs="Arial"/>
              </w:rPr>
            </w:pPr>
          </w:p>
        </w:tc>
      </w:tr>
      <w:tr w:rsidR="00FA474A" w:rsidRPr="007750F6" w:rsidTr="007750F6">
        <w:tc>
          <w:tcPr>
            <w:tcW w:w="10440" w:type="dxa"/>
            <w:vAlign w:val="center"/>
          </w:tcPr>
          <w:p w:rsidR="00FA474A" w:rsidRPr="00FA474A" w:rsidRDefault="00FA474A" w:rsidP="00FA474A">
            <w:pPr>
              <w:pStyle w:val="Header"/>
              <w:tabs>
                <w:tab w:val="clear" w:pos="4320"/>
                <w:tab w:val="clear" w:pos="8640"/>
                <w:tab w:val="num" w:pos="990"/>
              </w:tabs>
              <w:spacing w:before="120" w:after="120"/>
              <w:rPr>
                <w:rFonts w:ascii="Arial" w:hAnsi="Arial" w:cs="Arial"/>
                <w:bCs/>
                <w:sz w:val="22"/>
                <w:szCs w:val="22"/>
              </w:rPr>
            </w:pPr>
            <w:r w:rsidRPr="00FA474A">
              <w:rPr>
                <w:rFonts w:ascii="Arial" w:hAnsi="Arial" w:cs="Arial"/>
                <w:sz w:val="22"/>
                <w:szCs w:val="22"/>
                <w:u w:val="single"/>
              </w:rPr>
              <w:t>Selection</w:t>
            </w:r>
            <w:r w:rsidRPr="00FA474A">
              <w:rPr>
                <w:rFonts w:ascii="Arial" w:hAnsi="Arial" w:cs="Arial"/>
                <w:sz w:val="22"/>
                <w:szCs w:val="22"/>
              </w:rPr>
              <w:t xml:space="preserve">: </w:t>
            </w:r>
            <w:r w:rsidRPr="00FA474A">
              <w:rPr>
                <w:rFonts w:ascii="Arial" w:hAnsi="Arial" w:cs="Arial"/>
                <w:b/>
                <w:bCs/>
                <w:sz w:val="22"/>
                <w:szCs w:val="22"/>
              </w:rPr>
              <w:t>Print Form.</w:t>
            </w:r>
            <w:r w:rsidRPr="00FA474A">
              <w:rPr>
                <w:rFonts w:ascii="Arial" w:hAnsi="Arial" w:cs="Arial"/>
                <w:bCs/>
                <w:sz w:val="22"/>
                <w:szCs w:val="22"/>
              </w:rPr>
              <w:t xml:space="preserve"> Allows you the ability to Print the document for your records, but do not forward it to Accounts Payable; the image within the Claim Voucher Program will be submitted directly to the Document Imaging Program.</w:t>
            </w:r>
          </w:p>
        </w:tc>
      </w:tr>
      <w:tr w:rsidR="00FA474A" w:rsidRPr="007750F6" w:rsidTr="007750F6">
        <w:tc>
          <w:tcPr>
            <w:tcW w:w="10440" w:type="dxa"/>
            <w:vAlign w:val="center"/>
          </w:tcPr>
          <w:p w:rsidR="00FA474A" w:rsidRPr="00381263" w:rsidRDefault="00FA474A" w:rsidP="00FA474A">
            <w:pPr>
              <w:spacing w:before="120" w:after="120"/>
              <w:rPr>
                <w:rFonts w:ascii="Arial" w:hAnsi="Arial" w:cs="Arial"/>
              </w:rPr>
            </w:pPr>
            <w:r w:rsidRPr="00FA474A">
              <w:rPr>
                <w:rFonts w:ascii="Arial" w:hAnsi="Arial" w:cs="Arial"/>
                <w:u w:val="single"/>
              </w:rPr>
              <w:t>Moving Summary</w:t>
            </w:r>
            <w:r w:rsidRPr="00FA474A">
              <w:rPr>
                <w:rFonts w:ascii="Arial" w:hAnsi="Arial" w:cs="Arial"/>
              </w:rPr>
              <w:t>:  displays the recent payments made to a new employee.  By selecting the gold highlights, the document is viewable within the claim voucher program.</w:t>
            </w:r>
          </w:p>
        </w:tc>
      </w:tr>
      <w:tr w:rsidR="00FA474A" w:rsidRPr="007750F6" w:rsidTr="007750F6">
        <w:tc>
          <w:tcPr>
            <w:tcW w:w="10440" w:type="dxa"/>
            <w:vAlign w:val="center"/>
          </w:tcPr>
          <w:p w:rsidR="00FA474A" w:rsidRDefault="00FA474A" w:rsidP="00FA474A">
            <w:pPr>
              <w:rPr>
                <w:rFonts w:ascii="Arial" w:hAnsi="Arial" w:cs="Arial"/>
              </w:rPr>
            </w:pPr>
          </w:p>
          <w:p w:rsidR="00FA474A" w:rsidRDefault="00FA474A" w:rsidP="00FA474A">
            <w:pPr>
              <w:rPr>
                <w:rFonts w:ascii="Arial" w:hAnsi="Arial" w:cs="Arial"/>
              </w:rPr>
            </w:pPr>
            <w:r w:rsidRPr="00365C9F">
              <w:rPr>
                <w:noProof/>
              </w:rPr>
              <w:drawing>
                <wp:inline distT="0" distB="0" distL="0" distR="0" wp14:anchorId="730B2E15" wp14:editId="0EF3DD42">
                  <wp:extent cx="6463429" cy="819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37431" cy="828529"/>
                          </a:xfrm>
                          <a:prstGeom prst="rect">
                            <a:avLst/>
                          </a:prstGeom>
                          <a:noFill/>
                          <a:ln>
                            <a:noFill/>
                          </a:ln>
                        </pic:spPr>
                      </pic:pic>
                    </a:graphicData>
                  </a:graphic>
                </wp:inline>
              </w:drawing>
            </w:r>
          </w:p>
          <w:p w:rsidR="00FA474A" w:rsidRPr="00381263" w:rsidRDefault="00FA474A" w:rsidP="00FA474A">
            <w:pPr>
              <w:rPr>
                <w:rFonts w:ascii="Arial" w:hAnsi="Arial" w:cs="Arial"/>
              </w:rPr>
            </w:pPr>
          </w:p>
        </w:tc>
      </w:tr>
      <w:tr w:rsidR="00FA474A" w:rsidRPr="007750F6" w:rsidTr="007750F6">
        <w:tc>
          <w:tcPr>
            <w:tcW w:w="10440" w:type="dxa"/>
            <w:vAlign w:val="center"/>
          </w:tcPr>
          <w:p w:rsidR="00FA474A" w:rsidRPr="00FA474A" w:rsidRDefault="00FA474A" w:rsidP="00FA474A">
            <w:pPr>
              <w:spacing w:before="240" w:after="120"/>
              <w:rPr>
                <w:rFonts w:ascii="Arial" w:hAnsi="Arial" w:cs="Arial"/>
                <w:i/>
              </w:rPr>
            </w:pPr>
            <w:r w:rsidRPr="00FA474A">
              <w:rPr>
                <w:rFonts w:ascii="Arial" w:hAnsi="Arial" w:cs="Arial"/>
                <w:i/>
              </w:rPr>
              <w:t>Questions concerning the Payment of Moving Expenses, please contact Accounts Payable at 208-885-5379.</w:t>
            </w:r>
          </w:p>
        </w:tc>
      </w:tr>
    </w:tbl>
    <w:p w:rsidR="007750F6" w:rsidRPr="007750F6" w:rsidRDefault="007750F6">
      <w:pPr>
        <w:rPr>
          <w:rFonts w:ascii="Arial" w:hAnsi="Arial" w:cs="Arial"/>
        </w:rPr>
      </w:pPr>
    </w:p>
    <w:sectPr w:rsidR="007750F6" w:rsidRPr="007750F6" w:rsidSect="00995949">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F60" w:rsidRDefault="00EA4F60" w:rsidP="00AE35CD">
      <w:pPr>
        <w:spacing w:after="0" w:line="240" w:lineRule="auto"/>
      </w:pPr>
      <w:r>
        <w:separator/>
      </w:r>
    </w:p>
  </w:endnote>
  <w:endnote w:type="continuationSeparator" w:id="0">
    <w:p w:rsidR="00EA4F60" w:rsidRDefault="00EA4F60" w:rsidP="00AE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F60" w:rsidRDefault="00EA4F60" w:rsidP="00AE35CD">
      <w:pPr>
        <w:spacing w:after="0" w:line="240" w:lineRule="auto"/>
      </w:pPr>
      <w:r>
        <w:separator/>
      </w:r>
    </w:p>
  </w:footnote>
  <w:footnote w:type="continuationSeparator" w:id="0">
    <w:p w:rsidR="00EA4F60" w:rsidRDefault="00EA4F60" w:rsidP="00AE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49" w:rsidRDefault="00995949" w:rsidP="00995949">
    <w:pPr>
      <w:pStyle w:val="Header"/>
      <w:ind w:right="360"/>
      <w:jc w:val="center"/>
      <w:rPr>
        <w:rFonts w:ascii="Arial" w:hAnsi="Arial" w:cs="Arial"/>
        <w:sz w:val="36"/>
      </w:rPr>
    </w:pPr>
    <w:r w:rsidRPr="002805C8">
      <w:rPr>
        <w:rFonts w:ascii="Arial" w:hAnsi="Arial" w:cs="Arial"/>
        <w:sz w:val="36"/>
      </w:rPr>
      <w:t>Moving Expense Reporting and Payments Procedures</w:t>
    </w:r>
  </w:p>
  <w:p w:rsidR="00995949" w:rsidRPr="007750F6" w:rsidRDefault="00995949" w:rsidP="00995949">
    <w:pPr>
      <w:pStyle w:val="Header"/>
      <w:ind w:right="360"/>
      <w:jc w:val="center"/>
      <w:rPr>
        <w:rFonts w:ascii="Arial" w:hAnsi="Arial" w:cs="Arial"/>
        <w:sz w:val="36"/>
      </w:rPr>
    </w:pPr>
    <w:proofErr w:type="gramStart"/>
    <w:r w:rsidRPr="002805C8">
      <w:rPr>
        <w:rFonts w:ascii="Arial" w:hAnsi="Arial" w:cs="Arial"/>
        <w:sz w:val="36"/>
      </w:rPr>
      <w:t>for</w:t>
    </w:r>
    <w:proofErr w:type="gramEnd"/>
    <w:r w:rsidRPr="002805C8">
      <w:rPr>
        <w:rFonts w:ascii="Arial" w:hAnsi="Arial" w:cs="Arial"/>
        <w:sz w:val="36"/>
      </w:rPr>
      <w:t xml:space="preserve"> Household</w:t>
    </w:r>
    <w:r>
      <w:rPr>
        <w:rFonts w:ascii="Arial" w:hAnsi="Arial" w:cs="Arial"/>
        <w:sz w:val="36"/>
      </w:rPr>
      <w:t xml:space="preserve"> Moves</w:t>
    </w:r>
  </w:p>
  <w:p w:rsidR="00995949" w:rsidRDefault="00995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7F"/>
    <w:multiLevelType w:val="hybridMultilevel"/>
    <w:tmpl w:val="86584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844DE"/>
    <w:multiLevelType w:val="hybridMultilevel"/>
    <w:tmpl w:val="E07A346C"/>
    <w:lvl w:ilvl="0" w:tplc="43D4677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5184F"/>
    <w:multiLevelType w:val="hybridMultilevel"/>
    <w:tmpl w:val="99E2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C41F5"/>
    <w:multiLevelType w:val="hybridMultilevel"/>
    <w:tmpl w:val="34643F8E"/>
    <w:lvl w:ilvl="0" w:tplc="43D4677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D68F2"/>
    <w:multiLevelType w:val="hybridMultilevel"/>
    <w:tmpl w:val="BE6A99E8"/>
    <w:lvl w:ilvl="0" w:tplc="5C603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E5DDC"/>
    <w:multiLevelType w:val="hybridMultilevel"/>
    <w:tmpl w:val="28C0B5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5E1F78"/>
    <w:multiLevelType w:val="hybridMultilevel"/>
    <w:tmpl w:val="EA9853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1A7978"/>
    <w:multiLevelType w:val="hybridMultilevel"/>
    <w:tmpl w:val="AC92F2B0"/>
    <w:lvl w:ilvl="0" w:tplc="5C603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07AF8"/>
    <w:multiLevelType w:val="hybridMultilevel"/>
    <w:tmpl w:val="9EDC0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7131B"/>
    <w:multiLevelType w:val="hybridMultilevel"/>
    <w:tmpl w:val="446062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E02F9F"/>
    <w:multiLevelType w:val="hybridMultilevel"/>
    <w:tmpl w:val="4A70FD48"/>
    <w:lvl w:ilvl="0" w:tplc="43D4677A">
      <w:start w:val="1"/>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48331B"/>
    <w:multiLevelType w:val="hybridMultilevel"/>
    <w:tmpl w:val="BB821546"/>
    <w:lvl w:ilvl="0" w:tplc="43D4677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A248C"/>
    <w:multiLevelType w:val="hybridMultilevel"/>
    <w:tmpl w:val="83AE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363C1"/>
    <w:multiLevelType w:val="hybridMultilevel"/>
    <w:tmpl w:val="716C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86517"/>
    <w:multiLevelType w:val="hybridMultilevel"/>
    <w:tmpl w:val="8D4E4D4C"/>
    <w:lvl w:ilvl="0" w:tplc="43D4677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2"/>
  </w:num>
  <w:num w:numId="5">
    <w:abstractNumId w:val="4"/>
  </w:num>
  <w:num w:numId="6">
    <w:abstractNumId w:val="11"/>
  </w:num>
  <w:num w:numId="7">
    <w:abstractNumId w:val="0"/>
  </w:num>
  <w:num w:numId="8">
    <w:abstractNumId w:val="1"/>
  </w:num>
  <w:num w:numId="9">
    <w:abstractNumId w:val="6"/>
  </w:num>
  <w:num w:numId="10">
    <w:abstractNumId w:val="10"/>
  </w:num>
  <w:num w:numId="11">
    <w:abstractNumId w:val="14"/>
  </w:num>
  <w:num w:numId="12">
    <w:abstractNumId w:val="9"/>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6"/>
    <w:rsid w:val="00140D77"/>
    <w:rsid w:val="002D3DE1"/>
    <w:rsid w:val="003D69A8"/>
    <w:rsid w:val="0041346F"/>
    <w:rsid w:val="004C78DC"/>
    <w:rsid w:val="00517D44"/>
    <w:rsid w:val="005226A5"/>
    <w:rsid w:val="0057277D"/>
    <w:rsid w:val="005C2F04"/>
    <w:rsid w:val="006E148E"/>
    <w:rsid w:val="007750F6"/>
    <w:rsid w:val="00995949"/>
    <w:rsid w:val="00A36734"/>
    <w:rsid w:val="00AE25F3"/>
    <w:rsid w:val="00AE35CD"/>
    <w:rsid w:val="00DA41DE"/>
    <w:rsid w:val="00EA4F60"/>
    <w:rsid w:val="00EB5643"/>
    <w:rsid w:val="00EF36DC"/>
    <w:rsid w:val="00FA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FCE47-4D1E-4FE6-B4D4-0CD3AA77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0F6"/>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7750F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750F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7750F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750F6"/>
    <w:rPr>
      <w:rFonts w:ascii="Arial" w:eastAsia="Times New Roman" w:hAnsi="Arial" w:cs="Arial"/>
      <w:b/>
      <w:bCs/>
      <w:kern w:val="32"/>
      <w:sz w:val="32"/>
      <w:szCs w:val="32"/>
    </w:rPr>
  </w:style>
  <w:style w:type="character" w:styleId="Hyperlink">
    <w:name w:val="Hyperlink"/>
    <w:basedOn w:val="DefaultParagraphFont"/>
    <w:uiPriority w:val="99"/>
    <w:unhideWhenUsed/>
    <w:rsid w:val="007750F6"/>
    <w:rPr>
      <w:color w:val="0563C1" w:themeColor="hyperlink"/>
      <w:u w:val="single"/>
    </w:rPr>
  </w:style>
  <w:style w:type="table" w:styleId="TableGrid">
    <w:name w:val="Table Grid"/>
    <w:basedOn w:val="TableNormal"/>
    <w:uiPriority w:val="39"/>
    <w:rsid w:val="00775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750F6"/>
    <w:rPr>
      <w:rFonts w:ascii="Arial" w:eastAsia="Times New Roman" w:hAnsi="Arial" w:cs="Arial"/>
      <w:b/>
      <w:bCs/>
      <w:sz w:val="26"/>
      <w:szCs w:val="26"/>
    </w:rPr>
  </w:style>
  <w:style w:type="paragraph" w:styleId="ListParagraph">
    <w:name w:val="List Paragraph"/>
    <w:basedOn w:val="Normal"/>
    <w:uiPriority w:val="34"/>
    <w:qFormat/>
    <w:rsid w:val="005226A5"/>
    <w:pPr>
      <w:ind w:left="720"/>
      <w:contextualSpacing/>
    </w:pPr>
  </w:style>
  <w:style w:type="paragraph" w:styleId="BodyTextIndent">
    <w:name w:val="Body Text Indent"/>
    <w:basedOn w:val="Normal"/>
    <w:link w:val="BodyTextIndentChar"/>
    <w:semiHidden/>
    <w:rsid w:val="00AE25F3"/>
    <w:pPr>
      <w:tabs>
        <w:tab w:val="left" w:pos="4140"/>
      </w:tabs>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E25F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A474A"/>
    <w:pPr>
      <w:spacing w:after="120" w:line="480" w:lineRule="auto"/>
      <w:ind w:left="360"/>
    </w:pPr>
  </w:style>
  <w:style w:type="character" w:customStyle="1" w:styleId="BodyTextIndent2Char">
    <w:name w:val="Body Text Indent 2 Char"/>
    <w:basedOn w:val="DefaultParagraphFont"/>
    <w:link w:val="BodyTextIndent2"/>
    <w:uiPriority w:val="99"/>
    <w:semiHidden/>
    <w:rsid w:val="00FA474A"/>
  </w:style>
  <w:style w:type="paragraph" w:styleId="BalloonText">
    <w:name w:val="Balloon Text"/>
    <w:basedOn w:val="Normal"/>
    <w:link w:val="BalloonTextChar"/>
    <w:uiPriority w:val="99"/>
    <w:semiHidden/>
    <w:unhideWhenUsed/>
    <w:rsid w:val="002D3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DE1"/>
    <w:rPr>
      <w:rFonts w:ascii="Segoe UI" w:hAnsi="Segoe UI" w:cs="Segoe UI"/>
      <w:sz w:val="18"/>
      <w:szCs w:val="18"/>
    </w:rPr>
  </w:style>
  <w:style w:type="paragraph" w:styleId="Footer">
    <w:name w:val="footer"/>
    <w:basedOn w:val="Normal"/>
    <w:link w:val="FooterChar"/>
    <w:uiPriority w:val="99"/>
    <w:unhideWhenUsed/>
    <w:rsid w:val="00AE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o.idaho.gov/web/sbe/sbeweb.nsf/displayview?ReadForm&amp;L1=Board+of+Examiners&amp;L2=Policies+and+Procedures"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1103</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Mandi (mandi@uidaho.edu)</dc:creator>
  <cp:keywords/>
  <dc:description/>
  <cp:lastModifiedBy>Keeney, Linda (lkeeney@uidaho.edu)</cp:lastModifiedBy>
  <cp:revision>2</cp:revision>
  <cp:lastPrinted>2017-05-15T19:37:00Z</cp:lastPrinted>
  <dcterms:created xsi:type="dcterms:W3CDTF">2017-05-24T16:36:00Z</dcterms:created>
  <dcterms:modified xsi:type="dcterms:W3CDTF">2017-05-24T16:36:00Z</dcterms:modified>
</cp:coreProperties>
</file>