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69" w:rsidRDefault="00212D67">
      <w:r>
        <w:t>DGA Roundtable</w:t>
      </w:r>
      <w:r w:rsidR="00353829">
        <w:t xml:space="preserve"> Minutes</w:t>
      </w:r>
      <w:r>
        <w:t xml:space="preserve"> – </w:t>
      </w:r>
      <w:r w:rsidR="003C24F3">
        <w:t>April 1</w:t>
      </w:r>
      <w:r w:rsidR="000B30C3">
        <w:t>, 2019</w:t>
      </w:r>
    </w:p>
    <w:p w:rsidR="002B2D93" w:rsidRDefault="002B2D93" w:rsidP="002B2D93">
      <w:r>
        <w:rPr>
          <w:b/>
        </w:rPr>
        <w:t xml:space="preserve">1:30 – </w:t>
      </w:r>
      <w:r w:rsidR="003C24F3">
        <w:rPr>
          <w:b/>
        </w:rPr>
        <w:t>3:00</w:t>
      </w:r>
      <w:r>
        <w:rPr>
          <w:b/>
        </w:rPr>
        <w:t xml:space="preserve"> pm</w:t>
      </w:r>
      <w:r w:rsidRPr="00856F55">
        <w:rPr>
          <w:b/>
        </w:rPr>
        <w:t xml:space="preserve">, </w:t>
      </w:r>
      <w:r>
        <w:rPr>
          <w:b/>
        </w:rPr>
        <w:t xml:space="preserve">IRIC 305 (above the Atrium) </w:t>
      </w:r>
    </w:p>
    <w:p w:rsidR="009F4EC7" w:rsidRDefault="009F4EC7" w:rsidP="002B2D93">
      <w:pPr>
        <w:pStyle w:val="NoSpacing"/>
      </w:pPr>
    </w:p>
    <w:p w:rsidR="002B2D93" w:rsidRDefault="00302529" w:rsidP="003C24F3">
      <w:pPr>
        <w:pStyle w:val="NoSpacing"/>
        <w:numPr>
          <w:ilvl w:val="0"/>
          <w:numId w:val="9"/>
        </w:numPr>
        <w:ind w:left="360"/>
        <w:rPr>
          <w:b/>
        </w:rPr>
      </w:pPr>
      <w:r w:rsidRPr="00090165">
        <w:rPr>
          <w:b/>
        </w:rPr>
        <w:t>G</w:t>
      </w:r>
      <w:r w:rsidR="002B2D93" w:rsidRPr="0005779D">
        <w:rPr>
          <w:b/>
        </w:rPr>
        <w:t xml:space="preserve">reetings </w:t>
      </w:r>
      <w:r w:rsidR="003C24F3">
        <w:rPr>
          <w:b/>
        </w:rPr>
        <w:t>and Introductions</w:t>
      </w:r>
    </w:p>
    <w:p w:rsidR="00651CAC" w:rsidRDefault="00651CAC" w:rsidP="000F47F5">
      <w:pPr>
        <w:spacing w:line="276" w:lineRule="auto"/>
        <w:ind w:left="360"/>
      </w:pPr>
      <w:r>
        <w:t>Ann-Marie announced that VERAS is going live on April 9</w:t>
      </w:r>
      <w:r w:rsidRPr="00651CAC">
        <w:rPr>
          <w:vertAlign w:val="superscript"/>
        </w:rPr>
        <w:t>th</w:t>
      </w:r>
      <w:r>
        <w:t xml:space="preserve"> , EIPRS can be used for any proposals already in the system prior to VERAS go live, and that the UI Cayuse contract is ending on April 12</w:t>
      </w:r>
      <w:r w:rsidRPr="00651CAC">
        <w:rPr>
          <w:vertAlign w:val="superscript"/>
        </w:rPr>
        <w:t>th</w:t>
      </w:r>
      <w:r>
        <w:t xml:space="preserve"> at 5pm.</w:t>
      </w:r>
    </w:p>
    <w:p w:rsidR="00090165" w:rsidRDefault="00651CAC" w:rsidP="00651CAC">
      <w:pPr>
        <w:ind w:left="360"/>
      </w:pPr>
      <w:r>
        <w:t xml:space="preserve">The results of the DGA Mentor Survey are uploaded on the DGA page of the OSP website. </w:t>
      </w:r>
    </w:p>
    <w:p w:rsidR="00547F87" w:rsidRDefault="003C24F3" w:rsidP="00547F87">
      <w:pPr>
        <w:pStyle w:val="ListParagraph"/>
        <w:numPr>
          <w:ilvl w:val="0"/>
          <w:numId w:val="5"/>
        </w:numPr>
      </w:pPr>
      <w:r>
        <w:rPr>
          <w:b/>
        </w:rPr>
        <w:t>International Pr</w:t>
      </w:r>
      <w:r w:rsidR="00892185">
        <w:rPr>
          <w:b/>
        </w:rPr>
        <w:t>ograms Office and J-1 Visas: Lai</w:t>
      </w:r>
      <w:r>
        <w:rPr>
          <w:b/>
        </w:rPr>
        <w:t>la Cornwall (IPO)</w:t>
      </w:r>
    </w:p>
    <w:p w:rsidR="000F47F5" w:rsidRDefault="000F47F5" w:rsidP="000F47F5">
      <w:r>
        <w:t>IPO:</w:t>
      </w:r>
    </w:p>
    <w:p w:rsidR="000F47F5" w:rsidRDefault="000F47F5" w:rsidP="000F47F5">
      <w:pPr>
        <w:spacing w:after="0" w:line="276" w:lineRule="auto"/>
      </w:pPr>
      <w:r>
        <w:tab/>
        <w:t xml:space="preserve">MUST check into IPO before they do anything else on campus </w:t>
      </w:r>
    </w:p>
    <w:p w:rsidR="000F47F5" w:rsidRDefault="000F47F5" w:rsidP="000F47F5">
      <w:pPr>
        <w:spacing w:after="0" w:line="276" w:lineRule="auto"/>
      </w:pPr>
      <w:r>
        <w:tab/>
        <w:t>Working: Students can only work on-campus up to 20 hours a week</w:t>
      </w:r>
    </w:p>
    <w:p w:rsidR="000F47F5" w:rsidRDefault="000F47F5" w:rsidP="000F47F5">
      <w:pPr>
        <w:spacing w:after="0" w:line="276" w:lineRule="auto"/>
        <w:ind w:left="1440"/>
      </w:pPr>
      <w:r>
        <w:t xml:space="preserve">-After graduation: 1 year OPT visa, this is a good way to keep lab workers/research assistants, </w:t>
      </w:r>
      <w:r w:rsidR="00892185">
        <w:t>etc.</w:t>
      </w:r>
    </w:p>
    <w:p w:rsidR="000F47F5" w:rsidRDefault="000F47F5" w:rsidP="000F47F5">
      <w:pPr>
        <w:spacing w:after="0" w:line="276" w:lineRule="auto"/>
      </w:pPr>
    </w:p>
    <w:p w:rsidR="000F47F5" w:rsidRDefault="000F47F5" w:rsidP="000F47F5">
      <w:pPr>
        <w:spacing w:after="0" w:line="276" w:lineRule="auto"/>
      </w:pPr>
      <w:r>
        <w:tab/>
        <w:t>J-1 Scholars: Main purpose is to research</w:t>
      </w:r>
    </w:p>
    <w:p w:rsidR="000F47F5" w:rsidRDefault="000F47F5" w:rsidP="003867F8">
      <w:pPr>
        <w:spacing w:after="0" w:line="276" w:lineRule="auto"/>
      </w:pPr>
      <w:r>
        <w:tab/>
      </w:r>
      <w:r>
        <w:tab/>
        <w:t xml:space="preserve">2 types: </w:t>
      </w:r>
    </w:p>
    <w:p w:rsidR="003867F8" w:rsidRDefault="000F47F5" w:rsidP="003867F8">
      <w:pPr>
        <w:spacing w:after="0" w:line="276" w:lineRule="auto"/>
        <w:ind w:firstLine="720"/>
      </w:pPr>
      <w:r>
        <w:t xml:space="preserve">     </w:t>
      </w:r>
    </w:p>
    <w:p w:rsidR="000F47F5" w:rsidRDefault="000F47F5" w:rsidP="003867F8">
      <w:pPr>
        <w:spacing w:after="0" w:line="276" w:lineRule="auto"/>
        <w:ind w:firstLine="720"/>
      </w:pPr>
      <w:r>
        <w:t xml:space="preserve">1: Short Term </w:t>
      </w:r>
    </w:p>
    <w:p w:rsidR="003867F8" w:rsidRDefault="000F47F5" w:rsidP="003867F8">
      <w:pPr>
        <w:spacing w:after="0" w:line="276" w:lineRule="auto"/>
        <w:ind w:left="1440"/>
      </w:pPr>
      <w:r>
        <w:t>6 months, non-renewable (They must return to home country and reapply for a different visa to come back)</w:t>
      </w:r>
    </w:p>
    <w:p w:rsidR="000F47F5" w:rsidRDefault="000F47F5" w:rsidP="003867F8">
      <w:pPr>
        <w:spacing w:after="0" w:line="276" w:lineRule="auto"/>
        <w:ind w:firstLine="720"/>
      </w:pPr>
      <w:r>
        <w:t>2: Long term</w:t>
      </w:r>
    </w:p>
    <w:p w:rsidR="000F47F5" w:rsidRDefault="003867F8" w:rsidP="003867F8">
      <w:pPr>
        <w:spacing w:after="0" w:line="276" w:lineRule="auto"/>
      </w:pPr>
      <w:r>
        <w:tab/>
      </w:r>
      <w:r>
        <w:tab/>
      </w:r>
      <w:r w:rsidR="000F47F5">
        <w:t>3 months-6 years (Often 1 year, and then filing for extensions after that)</w:t>
      </w:r>
    </w:p>
    <w:p w:rsidR="000F47F5" w:rsidRDefault="000F47F5" w:rsidP="003867F8">
      <w:pPr>
        <w:spacing w:after="0" w:line="276" w:lineRule="auto"/>
        <w:ind w:left="2160"/>
      </w:pPr>
    </w:p>
    <w:p w:rsidR="000F47F5" w:rsidRDefault="000F47F5" w:rsidP="003867F8">
      <w:pPr>
        <w:spacing w:after="0" w:line="276" w:lineRule="auto"/>
        <w:ind w:left="1440"/>
      </w:pPr>
      <w:r>
        <w:t xml:space="preserve">After 6 years you would need to switch to an H1B visa for them to maintain employment eligibility. </w:t>
      </w:r>
    </w:p>
    <w:p w:rsidR="000F47F5" w:rsidRDefault="000F47F5" w:rsidP="003867F8">
      <w:pPr>
        <w:spacing w:after="0" w:line="276" w:lineRule="auto"/>
        <w:ind w:left="2160"/>
      </w:pPr>
    </w:p>
    <w:p w:rsidR="000F47F5" w:rsidRDefault="000F47F5" w:rsidP="003867F8">
      <w:pPr>
        <w:spacing w:after="0" w:line="276" w:lineRule="auto"/>
        <w:ind w:left="1440"/>
      </w:pPr>
      <w:r>
        <w:t xml:space="preserve">They have changed requests for J-1 Scholars to the online </w:t>
      </w:r>
      <w:proofErr w:type="spellStart"/>
      <w:r>
        <w:t>ivandal</w:t>
      </w:r>
      <w:proofErr w:type="spellEnd"/>
      <w:r>
        <w:t xml:space="preserve"> system. </w:t>
      </w:r>
    </w:p>
    <w:p w:rsidR="000F47F5" w:rsidRDefault="000F47F5" w:rsidP="003867F8">
      <w:pPr>
        <w:spacing w:line="276" w:lineRule="auto"/>
        <w:ind w:left="1440"/>
      </w:pPr>
      <w:r>
        <w:t xml:space="preserve">Some notes for international workers: Exempt from background checks for J-1 Scholars only (students still need background checks). </w:t>
      </w:r>
    </w:p>
    <w:p w:rsidR="003C24F3" w:rsidRPr="003C24F3" w:rsidRDefault="003867F8" w:rsidP="003867F8">
      <w:pPr>
        <w:pStyle w:val="ListParagraph"/>
        <w:tabs>
          <w:tab w:val="left" w:pos="5730"/>
        </w:tabs>
        <w:ind w:left="360"/>
        <w:rPr>
          <w:b/>
        </w:rPr>
      </w:pPr>
      <w:r>
        <w:rPr>
          <w:b/>
        </w:rPr>
        <w:tab/>
      </w:r>
    </w:p>
    <w:p w:rsidR="003C24F3" w:rsidRPr="003C24F3" w:rsidRDefault="003C24F3" w:rsidP="003C24F3">
      <w:pPr>
        <w:pStyle w:val="ListParagraph"/>
        <w:numPr>
          <w:ilvl w:val="0"/>
          <w:numId w:val="5"/>
        </w:numPr>
        <w:rPr>
          <w:b/>
        </w:rPr>
      </w:pPr>
      <w:r>
        <w:rPr>
          <w:b/>
        </w:rPr>
        <w:t>Onboarding</w:t>
      </w:r>
    </w:p>
    <w:p w:rsidR="003C24F3" w:rsidRDefault="003C24F3" w:rsidP="003C24F3">
      <w:pPr>
        <w:pStyle w:val="ListParagraph"/>
        <w:numPr>
          <w:ilvl w:val="1"/>
          <w:numId w:val="5"/>
        </w:numPr>
      </w:pPr>
      <w:r w:rsidRPr="003C24F3">
        <w:t>CNR will provide information on their process.</w:t>
      </w:r>
    </w:p>
    <w:p w:rsidR="00651CAC" w:rsidRDefault="00651CAC" w:rsidP="00651CAC">
      <w:pPr>
        <w:ind w:firstLine="360"/>
      </w:pPr>
      <w:r>
        <w:t xml:space="preserve">Eric Everett presented for CNR: </w:t>
      </w:r>
    </w:p>
    <w:p w:rsidR="00651CAC" w:rsidRDefault="00651CAC" w:rsidP="00651CAC">
      <w:r>
        <w:tab/>
        <w:t xml:space="preserve">The employment process will have delays at most points. Be prepared for the delays. </w:t>
      </w:r>
    </w:p>
    <w:p w:rsidR="00651CAC" w:rsidRDefault="00651CAC" w:rsidP="00651CAC">
      <w:r>
        <w:tab/>
        <w:t>Board Appointed -&gt; Work with your hiring authority and HR Business Partner</w:t>
      </w:r>
    </w:p>
    <w:p w:rsidR="00651CAC" w:rsidRDefault="00651CAC" w:rsidP="00651CAC">
      <w:pPr>
        <w:ind w:firstLine="720"/>
      </w:pPr>
      <w:r>
        <w:t>Research Assistant -&gt; Students working on research or sponsored project</w:t>
      </w:r>
    </w:p>
    <w:p w:rsidR="00651CAC" w:rsidRDefault="00651CAC" w:rsidP="00651CAC">
      <w:r>
        <w:lastRenderedPageBreak/>
        <w:tab/>
      </w:r>
      <w:r>
        <w:tab/>
      </w:r>
      <w:r>
        <w:tab/>
        <w:t>1: Student applies as a graduate student</w:t>
      </w:r>
    </w:p>
    <w:p w:rsidR="00651CAC" w:rsidRDefault="00651CAC" w:rsidP="00651CAC">
      <w:r>
        <w:tab/>
      </w:r>
      <w:r>
        <w:tab/>
      </w:r>
      <w:r>
        <w:tab/>
        <w:t>2: Then goes to department</w:t>
      </w:r>
    </w:p>
    <w:p w:rsidR="00651CAC" w:rsidRDefault="00651CAC" w:rsidP="00651CAC">
      <w:r>
        <w:tab/>
      </w:r>
      <w:r>
        <w:tab/>
      </w:r>
      <w:r>
        <w:tab/>
        <w:t>3: Then goes to professor</w:t>
      </w:r>
    </w:p>
    <w:p w:rsidR="00651CAC" w:rsidRDefault="00651CAC" w:rsidP="00651CAC">
      <w:r>
        <w:tab/>
        <w:t>(Notes: The percentage paid is the percentage the grant is paying)</w:t>
      </w:r>
    </w:p>
    <w:p w:rsidR="00651CAC" w:rsidRDefault="00651CAC" w:rsidP="00651CAC">
      <w:pPr>
        <w:ind w:firstLine="720"/>
      </w:pPr>
      <w:r>
        <w:t>Temp Help:  See attached sheet</w:t>
      </w:r>
    </w:p>
    <w:p w:rsidR="00651CAC" w:rsidRDefault="00651CAC" w:rsidP="00651CAC">
      <w:pPr>
        <w:ind w:left="720"/>
      </w:pPr>
      <w:r>
        <w:t xml:space="preserve">Options for remote 1-9s: </w:t>
      </w:r>
    </w:p>
    <w:p w:rsidR="00651CAC" w:rsidRDefault="00651CAC" w:rsidP="00651CAC">
      <w:pPr>
        <w:ind w:left="1440"/>
      </w:pPr>
      <w:r>
        <w:t>Have the supervisor trained on how to accept them, or send them to another university or state HR department</w:t>
      </w:r>
    </w:p>
    <w:p w:rsidR="00651CAC" w:rsidRDefault="00651CAC" w:rsidP="00651CAC">
      <w:r>
        <w:tab/>
      </w:r>
      <w:r>
        <w:tab/>
        <w:t xml:space="preserve">Keeping all the steps straight, see the attached excel sheet. </w:t>
      </w:r>
    </w:p>
    <w:p w:rsidR="00651CAC" w:rsidRDefault="00651CAC" w:rsidP="00651CAC">
      <w:pPr>
        <w:ind w:left="720" w:firstLine="720"/>
      </w:pPr>
      <w:r>
        <w:t>Some problems: How do we differentiate work vs. being a student?</w:t>
      </w:r>
    </w:p>
    <w:p w:rsidR="00651CAC" w:rsidRDefault="00651CAC" w:rsidP="00651CAC">
      <w:r>
        <w:tab/>
        <w:t>1: Connecting the start date to the first day of mandatory trainings</w:t>
      </w:r>
    </w:p>
    <w:p w:rsidR="00651CAC" w:rsidRDefault="00651CAC" w:rsidP="00651CAC">
      <w:r>
        <w:tab/>
      </w:r>
      <w:r>
        <w:tab/>
        <w:t>(Even to the point of not meeting supervisors or doing office tours before)</w:t>
      </w:r>
    </w:p>
    <w:p w:rsidR="00651CAC" w:rsidRDefault="00651CAC" w:rsidP="00651CAC">
      <w:r>
        <w:tab/>
        <w:t>2: Do all students complete this task?</w:t>
      </w:r>
    </w:p>
    <w:p w:rsidR="00651CAC" w:rsidRDefault="00651CAC" w:rsidP="00651CAC">
      <w:r>
        <w:tab/>
      </w:r>
      <w:r>
        <w:tab/>
        <w:t>All international students need to take IPO’s orientation, so the orientation is not work</w:t>
      </w:r>
    </w:p>
    <w:p w:rsidR="00651CAC" w:rsidRPr="003C24F3" w:rsidRDefault="00651CAC" w:rsidP="00651CAC">
      <w:pPr>
        <w:pStyle w:val="ListParagraph"/>
        <w:ind w:left="360"/>
      </w:pPr>
    </w:p>
    <w:p w:rsidR="003C24F3" w:rsidRDefault="003C24F3" w:rsidP="003C24F3">
      <w:pPr>
        <w:pStyle w:val="ListParagraph"/>
        <w:numPr>
          <w:ilvl w:val="1"/>
          <w:numId w:val="5"/>
        </w:numPr>
      </w:pPr>
      <w:r w:rsidRPr="003C24F3">
        <w:t>CALS has kindly provided handouts of their processes.</w:t>
      </w:r>
    </w:p>
    <w:p w:rsidR="003867F8" w:rsidRPr="003C24F3" w:rsidRDefault="003867F8" w:rsidP="003867F8">
      <w:pPr>
        <w:pStyle w:val="ListParagraph"/>
        <w:ind w:left="360"/>
      </w:pPr>
    </w:p>
    <w:p w:rsidR="003C24F3" w:rsidRDefault="003C24F3" w:rsidP="003C24F3">
      <w:pPr>
        <w:pStyle w:val="ListParagraph"/>
        <w:numPr>
          <w:ilvl w:val="1"/>
          <w:numId w:val="5"/>
        </w:numPr>
      </w:pPr>
      <w:r w:rsidRPr="003C24F3">
        <w:t xml:space="preserve">Questions session with DGAs providing answers as appropriate. </w:t>
      </w:r>
    </w:p>
    <w:p w:rsidR="003C24F3" w:rsidRDefault="003C24F3" w:rsidP="003C24F3">
      <w:pPr>
        <w:pStyle w:val="ListParagraph"/>
        <w:ind w:left="360"/>
        <w:rPr>
          <w:b/>
        </w:rPr>
      </w:pPr>
    </w:p>
    <w:p w:rsidR="003C24F3" w:rsidRDefault="003C24F3" w:rsidP="003C24F3">
      <w:pPr>
        <w:pStyle w:val="ListParagraph"/>
        <w:numPr>
          <w:ilvl w:val="0"/>
          <w:numId w:val="5"/>
        </w:numPr>
        <w:rPr>
          <w:b/>
        </w:rPr>
      </w:pPr>
      <w:r>
        <w:rPr>
          <w:b/>
        </w:rPr>
        <w:t>Summer Salary</w:t>
      </w:r>
    </w:p>
    <w:p w:rsidR="003C24F3" w:rsidRDefault="003C24F3" w:rsidP="003C24F3">
      <w:pPr>
        <w:pStyle w:val="ListParagraph"/>
        <w:numPr>
          <w:ilvl w:val="1"/>
          <w:numId w:val="5"/>
        </w:numPr>
      </w:pPr>
      <w:r w:rsidRPr="003C24F3">
        <w:t>Dan Noble will provide information on the summer salary and EPAF processes.</w:t>
      </w:r>
    </w:p>
    <w:p w:rsidR="000F47F5" w:rsidRPr="003C24F3" w:rsidRDefault="000F47F5" w:rsidP="000F47F5">
      <w:pPr>
        <w:ind w:left="360"/>
      </w:pPr>
      <w:r>
        <w:t>Dan instructed DGAs on the use of the EPAF decision tree and calculators.</w:t>
      </w:r>
    </w:p>
    <w:p w:rsidR="003C24F3" w:rsidRDefault="003C24F3" w:rsidP="003C24F3">
      <w:pPr>
        <w:pStyle w:val="ListParagraph"/>
        <w:numPr>
          <w:ilvl w:val="1"/>
          <w:numId w:val="5"/>
        </w:numPr>
      </w:pPr>
      <w:r w:rsidRPr="003C24F3">
        <w:t>DGA group will answer questions from the group</w:t>
      </w:r>
      <w:r>
        <w:t xml:space="preserve"> regarding the necessary compliance checks for summer salary before the forms are completed and EPAFs entered</w:t>
      </w:r>
      <w:r w:rsidRPr="003C24F3">
        <w:t xml:space="preserve">. </w:t>
      </w:r>
    </w:p>
    <w:p w:rsidR="00651CAC" w:rsidRDefault="00651CAC" w:rsidP="00651CAC">
      <w:pPr>
        <w:pStyle w:val="NormalWeb"/>
        <w:ind w:left="360"/>
        <w:rPr>
          <w:rFonts w:ascii="Calibri" w:hAnsi="Calibri"/>
          <w:color w:val="000000"/>
        </w:rPr>
      </w:pPr>
      <w:r>
        <w:rPr>
          <w:rFonts w:ascii="Calibri" w:hAnsi="Calibri"/>
          <w:color w:val="000000"/>
        </w:rPr>
        <w:t>Summer Salary:</w:t>
      </w:r>
    </w:p>
    <w:p w:rsidR="00651CAC" w:rsidRDefault="00651CAC" w:rsidP="00651CAC">
      <w:pPr>
        <w:pStyle w:val="NormalWeb"/>
        <w:ind w:left="360"/>
        <w:rPr>
          <w:rFonts w:ascii="Calibri" w:hAnsi="Calibri"/>
          <w:color w:val="000000"/>
        </w:rPr>
      </w:pPr>
      <w:r>
        <w:rPr>
          <w:rFonts w:ascii="Calibri" w:hAnsi="Calibri"/>
          <w:color w:val="000000"/>
        </w:rPr>
        <w:t>1: Stipend to % of tuition fees</w:t>
      </w:r>
    </w:p>
    <w:p w:rsidR="00651CAC" w:rsidRDefault="00651CAC" w:rsidP="00651CAC">
      <w:pPr>
        <w:pStyle w:val="NormalWeb"/>
        <w:ind w:left="360"/>
        <w:rPr>
          <w:rFonts w:ascii="Calibri" w:hAnsi="Calibri"/>
          <w:color w:val="000000"/>
        </w:rPr>
      </w:pPr>
      <w:r>
        <w:rPr>
          <w:rFonts w:ascii="Calibri" w:hAnsi="Calibri"/>
          <w:color w:val="000000"/>
        </w:rPr>
        <w:t>    -Stipend % = Tuition % is okay</w:t>
      </w:r>
    </w:p>
    <w:p w:rsidR="00651CAC" w:rsidRDefault="00651CAC" w:rsidP="00651CAC">
      <w:pPr>
        <w:pStyle w:val="NormalWeb"/>
        <w:ind w:left="360"/>
        <w:rPr>
          <w:rFonts w:ascii="Calibri" w:hAnsi="Calibri"/>
          <w:color w:val="000000"/>
        </w:rPr>
      </w:pPr>
      <w:r>
        <w:rPr>
          <w:rFonts w:ascii="Calibri" w:hAnsi="Calibri"/>
          <w:color w:val="000000"/>
        </w:rPr>
        <w:t>    -Stipend % &gt; tuition % is not okay</w:t>
      </w:r>
    </w:p>
    <w:p w:rsidR="00651CAC" w:rsidRPr="003C24F3" w:rsidRDefault="00651CAC" w:rsidP="00651CAC"/>
    <w:p w:rsidR="00651CAC" w:rsidRDefault="00651CAC" w:rsidP="00651CAC">
      <w:pPr>
        <w:pStyle w:val="NormalWeb"/>
        <w:ind w:left="360"/>
        <w:rPr>
          <w:rFonts w:ascii="Calibri" w:hAnsi="Calibri"/>
          <w:color w:val="000000"/>
        </w:rPr>
      </w:pPr>
      <w:proofErr w:type="spellStart"/>
      <w:r>
        <w:rPr>
          <w:rFonts w:ascii="Calibri" w:hAnsi="Calibri"/>
          <w:color w:val="000000"/>
        </w:rPr>
        <w:t>Mindi</w:t>
      </w:r>
      <w:proofErr w:type="spellEnd"/>
      <w:r>
        <w:rPr>
          <w:rFonts w:ascii="Calibri" w:hAnsi="Calibri"/>
          <w:color w:val="000000"/>
        </w:rPr>
        <w:t xml:space="preserve"> Wood is good for general HR/I-9 compliance questions</w:t>
      </w:r>
    </w:p>
    <w:p w:rsidR="00651CAC" w:rsidRDefault="00651CAC" w:rsidP="00651CAC">
      <w:pPr>
        <w:pStyle w:val="NormalWeb"/>
        <w:ind w:left="360"/>
        <w:rPr>
          <w:rFonts w:ascii="Calibri" w:hAnsi="Calibri"/>
          <w:color w:val="000000"/>
        </w:rPr>
      </w:pPr>
      <w:r>
        <w:rPr>
          <w:rFonts w:ascii="Calibri" w:hAnsi="Calibri"/>
          <w:color w:val="000000"/>
        </w:rPr>
        <w:t>Noelle Simmons is a good contact for holiday pay questions. </w:t>
      </w:r>
    </w:p>
    <w:p w:rsidR="003005F5" w:rsidRDefault="003005F5" w:rsidP="003005F5">
      <w:pPr>
        <w:pStyle w:val="NormalWeb"/>
        <w:rPr>
          <w:rFonts w:ascii="Calibri" w:hAnsi="Calibri"/>
          <w:color w:val="000000"/>
        </w:rPr>
      </w:pPr>
    </w:p>
    <w:p w:rsidR="003005F5" w:rsidRDefault="003005F5" w:rsidP="003005F5">
      <w:pPr>
        <w:pStyle w:val="NormalWeb"/>
        <w:rPr>
          <w:rFonts w:ascii="Calibri" w:hAnsi="Calibri"/>
          <w:color w:val="000000"/>
        </w:rPr>
      </w:pPr>
      <w:r>
        <w:rPr>
          <w:rFonts w:ascii="Calibri" w:hAnsi="Calibri"/>
          <w:color w:val="000000"/>
        </w:rPr>
        <w:t>Sticky Note Questions:</w:t>
      </w:r>
    </w:p>
    <w:p w:rsidR="003005F5" w:rsidRDefault="003005F5" w:rsidP="003005F5">
      <w:pPr>
        <w:pStyle w:val="NormalWeb"/>
        <w:rPr>
          <w:rFonts w:ascii="Calibri" w:hAnsi="Calibri"/>
          <w:color w:val="000000"/>
        </w:rPr>
      </w:pPr>
    </w:p>
    <w:p w:rsidR="003005F5" w:rsidRDefault="003005F5" w:rsidP="003005F5">
      <w:pPr>
        <w:pStyle w:val="NormalWeb"/>
        <w:rPr>
          <w:rFonts w:ascii="Calibri" w:hAnsi="Calibri"/>
          <w:color w:val="000000"/>
        </w:rPr>
      </w:pPr>
      <w:r>
        <w:rPr>
          <w:rFonts w:ascii="Calibri" w:hAnsi="Calibri"/>
          <w:color w:val="000000"/>
        </w:rPr>
        <w:t>For IPO:</w:t>
      </w:r>
    </w:p>
    <w:p w:rsidR="003005F5" w:rsidRDefault="003005F5" w:rsidP="003005F5">
      <w:pPr>
        <w:pStyle w:val="NormalWeb"/>
        <w:rPr>
          <w:rFonts w:ascii="Calibri" w:hAnsi="Calibri"/>
          <w:color w:val="000000"/>
        </w:rPr>
      </w:pPr>
      <w:r>
        <w:rPr>
          <w:rFonts w:ascii="Calibri" w:hAnsi="Calibri"/>
          <w:color w:val="000000"/>
        </w:rPr>
        <w:lastRenderedPageBreak/>
        <w:t>1</w:t>
      </w:r>
      <w:proofErr w:type="gramStart"/>
      <w:r>
        <w:rPr>
          <w:rFonts w:ascii="Calibri" w:hAnsi="Calibri"/>
          <w:color w:val="000000"/>
        </w:rPr>
        <w:t>:Can</w:t>
      </w:r>
      <w:proofErr w:type="gramEnd"/>
      <w:r>
        <w:rPr>
          <w:rFonts w:ascii="Calibri" w:hAnsi="Calibri"/>
          <w:color w:val="000000"/>
        </w:rPr>
        <w:t xml:space="preserve"> wording be included to indicate payroll lag?</w:t>
      </w:r>
      <w:r>
        <w:rPr>
          <w:rFonts w:ascii="Calibri" w:hAnsi="Calibri"/>
          <w:color w:val="000000"/>
          <w:shd w:val="clear" w:color="auto" w:fill="00FF00"/>
        </w:rPr>
        <w:t xml:space="preserve"> Status: Mikayla has followed up with Laila and sent her this information. Seems possible. </w:t>
      </w:r>
    </w:p>
    <w:p w:rsidR="003005F5" w:rsidRDefault="003005F5" w:rsidP="003005F5">
      <w:pPr>
        <w:pStyle w:val="NormalWeb"/>
        <w:rPr>
          <w:rFonts w:ascii="Calibri" w:hAnsi="Calibri"/>
          <w:color w:val="000000"/>
        </w:rPr>
      </w:pPr>
    </w:p>
    <w:p w:rsidR="003005F5" w:rsidRDefault="003005F5" w:rsidP="003005F5">
      <w:pPr>
        <w:pStyle w:val="NormalWeb"/>
        <w:rPr>
          <w:rFonts w:ascii="Calibri" w:hAnsi="Calibri"/>
          <w:color w:val="000000"/>
        </w:rPr>
      </w:pPr>
      <w:r>
        <w:rPr>
          <w:rFonts w:ascii="Calibri" w:hAnsi="Calibri"/>
          <w:color w:val="000000"/>
        </w:rPr>
        <w:t>General Questions: </w:t>
      </w:r>
    </w:p>
    <w:p w:rsidR="003005F5" w:rsidRDefault="003005F5" w:rsidP="003005F5">
      <w:pPr>
        <w:pStyle w:val="NormalWeb"/>
        <w:rPr>
          <w:rFonts w:ascii="Calibri" w:hAnsi="Calibri"/>
          <w:color w:val="000000"/>
        </w:rPr>
      </w:pPr>
      <w:r>
        <w:rPr>
          <w:rFonts w:ascii="Calibri" w:hAnsi="Calibri"/>
          <w:color w:val="000000"/>
        </w:rPr>
        <w:t>1</w:t>
      </w:r>
      <w:proofErr w:type="gramStart"/>
      <w:r>
        <w:rPr>
          <w:rFonts w:ascii="Calibri" w:hAnsi="Calibri"/>
          <w:color w:val="000000"/>
        </w:rPr>
        <w:t>:Who</w:t>
      </w:r>
      <w:proofErr w:type="gramEnd"/>
      <w:r>
        <w:rPr>
          <w:rFonts w:ascii="Calibri" w:hAnsi="Calibri"/>
          <w:color w:val="000000"/>
        </w:rPr>
        <w:t xml:space="preserve"> needs to sign what parts for summer session is still unclear? </w:t>
      </w:r>
      <w:r>
        <w:rPr>
          <w:rFonts w:ascii="Calibri" w:hAnsi="Calibri"/>
          <w:color w:val="000000"/>
          <w:shd w:val="clear" w:color="auto" w:fill="FFFF00"/>
        </w:rPr>
        <w:t>Status:</w:t>
      </w:r>
      <w:r w:rsidR="00892185">
        <w:rPr>
          <w:rFonts w:ascii="Calibri" w:hAnsi="Calibri"/>
          <w:color w:val="000000"/>
          <w:shd w:val="clear" w:color="auto" w:fill="FFFF00"/>
        </w:rPr>
        <w:t xml:space="preserve"> Please direct this question to Noelle Simmons in the Provost’s office, or review the new summer salary contract and FAQs. </w:t>
      </w:r>
    </w:p>
    <w:p w:rsidR="003005F5" w:rsidRDefault="003005F5" w:rsidP="003005F5">
      <w:pPr>
        <w:pStyle w:val="NormalWeb"/>
        <w:rPr>
          <w:rFonts w:ascii="Calibri" w:hAnsi="Calibri"/>
          <w:color w:val="000000"/>
        </w:rPr>
      </w:pPr>
      <w:r>
        <w:rPr>
          <w:rFonts w:ascii="Calibri" w:hAnsi="Calibri"/>
          <w:color w:val="000000"/>
        </w:rPr>
        <w:t>2: Will EIPRS still be available after 4/9 for running reports? </w:t>
      </w:r>
      <w:r>
        <w:rPr>
          <w:rFonts w:ascii="Calibri" w:hAnsi="Calibri"/>
          <w:color w:val="000000"/>
          <w:shd w:val="clear" w:color="auto" w:fill="FFFF00"/>
        </w:rPr>
        <w:t xml:space="preserve"> Status:</w:t>
      </w:r>
      <w:r>
        <w:rPr>
          <w:rFonts w:ascii="Calibri" w:hAnsi="Calibri"/>
          <w:color w:val="000000"/>
        </w:rPr>
        <w:t> </w:t>
      </w:r>
      <w:r w:rsidR="00892185">
        <w:rPr>
          <w:rFonts w:ascii="Calibri" w:hAnsi="Calibri"/>
          <w:color w:val="000000"/>
        </w:rPr>
        <w:t xml:space="preserve">Yes. </w:t>
      </w:r>
    </w:p>
    <w:p w:rsidR="003005F5" w:rsidRDefault="003005F5" w:rsidP="003005F5">
      <w:pPr>
        <w:pStyle w:val="NormalWeb"/>
        <w:rPr>
          <w:rFonts w:ascii="Calibri" w:hAnsi="Calibri"/>
          <w:color w:val="000000"/>
        </w:rPr>
      </w:pPr>
    </w:p>
    <w:p w:rsidR="003005F5" w:rsidRDefault="003005F5" w:rsidP="003005F5">
      <w:pPr>
        <w:pStyle w:val="NormalWeb"/>
        <w:rPr>
          <w:rFonts w:ascii="Calibri" w:hAnsi="Calibri"/>
          <w:color w:val="000000"/>
        </w:rPr>
      </w:pPr>
      <w:r>
        <w:rPr>
          <w:rFonts w:ascii="Calibri" w:hAnsi="Calibri"/>
          <w:color w:val="000000"/>
        </w:rPr>
        <w:t>EPAF:</w:t>
      </w:r>
    </w:p>
    <w:p w:rsidR="003005F5" w:rsidRDefault="003005F5" w:rsidP="003005F5">
      <w:pPr>
        <w:pStyle w:val="NormalWeb"/>
        <w:rPr>
          <w:rFonts w:ascii="Calibri" w:hAnsi="Calibri"/>
          <w:color w:val="000000"/>
          <w:shd w:val="clear" w:color="auto" w:fill="00FF00"/>
        </w:rPr>
      </w:pPr>
      <w:r>
        <w:rPr>
          <w:rFonts w:ascii="Calibri" w:hAnsi="Calibri"/>
          <w:color w:val="000000"/>
        </w:rPr>
        <w:t xml:space="preserve">1: What time period does FTE need to match effort (Every day, every pay, </w:t>
      </w:r>
      <w:proofErr w:type="gramStart"/>
      <w:r>
        <w:rPr>
          <w:rFonts w:ascii="Calibri" w:hAnsi="Calibri"/>
          <w:color w:val="000000"/>
        </w:rPr>
        <w:t>every</w:t>
      </w:r>
      <w:proofErr w:type="gramEnd"/>
      <w:r>
        <w:rPr>
          <w:rFonts w:ascii="Calibri" w:hAnsi="Calibri"/>
          <w:color w:val="000000"/>
        </w:rPr>
        <w:t xml:space="preserve"> month)?</w:t>
      </w:r>
      <w:r>
        <w:rPr>
          <w:rFonts w:ascii="Calibri" w:hAnsi="Calibri"/>
          <w:color w:val="000000"/>
          <w:shd w:val="clear" w:color="auto" w:fill="00FF00"/>
        </w:rPr>
        <w:t xml:space="preserve"> </w:t>
      </w:r>
      <w:r w:rsidR="00892185" w:rsidRPr="00892185">
        <w:rPr>
          <w:rFonts w:ascii="Calibri" w:hAnsi="Calibri"/>
          <w:color w:val="000000"/>
          <w:highlight w:val="yellow"/>
          <w:shd w:val="clear" w:color="auto" w:fill="00FF00"/>
        </w:rPr>
        <w:t>The FTE is for the summer period; the percent of effort is for the summer period worked, per project.</w:t>
      </w:r>
      <w:r w:rsidR="00892185">
        <w:rPr>
          <w:rFonts w:ascii="Calibri" w:hAnsi="Calibri"/>
          <w:color w:val="000000"/>
          <w:shd w:val="clear" w:color="auto" w:fill="00FF00"/>
        </w:rPr>
        <w:t xml:space="preserve"> </w:t>
      </w:r>
    </w:p>
    <w:p w:rsidR="00892185" w:rsidRDefault="00892185" w:rsidP="003005F5">
      <w:pPr>
        <w:pStyle w:val="NormalWeb"/>
        <w:rPr>
          <w:rFonts w:ascii="Calibri" w:hAnsi="Calibri"/>
          <w:color w:val="000000"/>
          <w:shd w:val="clear" w:color="auto" w:fill="00FF00"/>
        </w:rPr>
      </w:pPr>
    </w:p>
    <w:p w:rsidR="00892185" w:rsidRDefault="00892185" w:rsidP="00892185">
      <w:pPr>
        <w:rPr>
          <w:rFonts w:ascii="Calibri" w:hAnsi="Calibri" w:cs="Calibri"/>
          <w:color w:val="1F497D"/>
        </w:rPr>
      </w:pPr>
      <w:r w:rsidRPr="00892185">
        <w:rPr>
          <w:rFonts w:ascii="Calibri" w:hAnsi="Calibri"/>
          <w:color w:val="000000"/>
          <w:highlight w:val="yellow"/>
          <w:shd w:val="clear" w:color="auto" w:fill="00FF00"/>
        </w:rPr>
        <w:t>NSF 2/9 Rule:</w:t>
      </w:r>
      <w:r>
        <w:rPr>
          <w:rFonts w:ascii="Calibri" w:hAnsi="Calibri"/>
          <w:color w:val="000000"/>
          <w:shd w:val="clear" w:color="auto" w:fill="00FF00"/>
        </w:rPr>
        <w:t xml:space="preserve"> </w:t>
      </w:r>
      <w:r w:rsidRPr="00CE1966">
        <w:rPr>
          <w:rFonts w:ascii="Calibri" w:hAnsi="Calibri" w:cs="Calibri"/>
          <w:color w:val="1F497D"/>
          <w:highlight w:val="yellow"/>
        </w:rPr>
        <w:t>Here is what the Feb. 2019 PAPPG says about the 2/9ths rule.</w:t>
      </w:r>
      <w:r>
        <w:rPr>
          <w:rFonts w:ascii="Calibri" w:hAnsi="Calibri" w:cs="Calibri"/>
          <w:color w:val="1F497D"/>
        </w:rPr>
        <w:t xml:space="preserve"> </w:t>
      </w:r>
    </w:p>
    <w:p w:rsidR="00892185" w:rsidRDefault="00892185" w:rsidP="00892185">
      <w:pPr>
        <w:rPr>
          <w:rFonts w:ascii="Calibri" w:hAnsi="Calibri" w:cs="Calibri"/>
          <w:color w:val="1F497D"/>
        </w:rPr>
      </w:pPr>
      <w:bookmarkStart w:id="0" w:name="_GoBack"/>
      <w:bookmarkEnd w:id="0"/>
    </w:p>
    <w:p w:rsidR="00892185" w:rsidRDefault="00892185" w:rsidP="00892185">
      <w:pPr>
        <w:pStyle w:val="NormalWeb"/>
      </w:pPr>
      <w:r>
        <w:rPr>
          <w:rStyle w:val="Strong"/>
        </w:rPr>
        <w:t>a) Senior Personnel Salaries &amp; Wages Policy</w:t>
      </w:r>
    </w:p>
    <w:p w:rsidR="00892185" w:rsidRDefault="00892185" w:rsidP="00892185">
      <w:r>
        <w:t>NSF regards research as one of the normal functions of faculty members at institutions of higher education. Compensation for time normally spent on research within the term of appointment is deemed to be included within the faculty member’s regular organizational salary.</w:t>
      </w:r>
    </w:p>
    <w:p w:rsidR="00892185" w:rsidRDefault="00892185" w:rsidP="00892185">
      <w:pPr>
        <w:pStyle w:val="NormalWeb"/>
      </w:pPr>
      <w:r>
        <w:t xml:space="preserve">As a general policy, NSF limits the salary compensation requested in the proposal budget for senior personnel to no more than two months of their regular salary in any one year. (See </w:t>
      </w:r>
      <w:hyperlink r:id="rId5" w:anchor="2ex7" w:history="1">
        <w:r>
          <w:rPr>
            <w:rStyle w:val="Hyperlink"/>
          </w:rPr>
          <w:t>Exhibit II-7</w:t>
        </w:r>
      </w:hyperlink>
      <w:r>
        <w:t xml:space="preserve"> for the definitions of Senior Personnel.) It is the organization's responsibility to define and consistently apply the term "year", and to specify this definition in the budget justification. This limit includes salary compensation received </w:t>
      </w:r>
      <w:r>
        <w:rPr>
          <w:rStyle w:val="Strong"/>
        </w:rPr>
        <w:t>from all NSF-funded grants</w:t>
      </w:r>
      <w:r>
        <w:t>. This effort must be documented in accordance with 2 CFR § 200, Subpart E, including 2 CFR § 200.430(i). If anticipated, any compensation for such personnel in excess of two months must be disclosed in the proposal budget, justified in the budget justification, and must be specifically approved by NSF in the award notice budget.</w:t>
      </w:r>
      <w:hyperlink r:id="rId6" w:anchor="fn16" w:history="1">
        <w:r>
          <w:rPr>
            <w:rStyle w:val="Hyperlink"/>
            <w:vertAlign w:val="superscript"/>
          </w:rPr>
          <w:t>16</w:t>
        </w:r>
      </w:hyperlink>
      <w:bookmarkStart w:id="1" w:name="bfn16"/>
      <w:bookmarkEnd w:id="1"/>
      <w:r>
        <w:t xml:space="preserve"> </w:t>
      </w:r>
    </w:p>
    <w:p w:rsidR="00892185" w:rsidRDefault="00892185" w:rsidP="00892185">
      <w:pPr>
        <w:pStyle w:val="NormalWeb"/>
      </w:pPr>
      <w:r>
        <w:t xml:space="preserve">Under normal </w:t>
      </w:r>
      <w:proofErr w:type="spellStart"/>
      <w:r>
        <w:t>rebudgeting</w:t>
      </w:r>
      <w:proofErr w:type="spellEnd"/>
      <w:r>
        <w:t xml:space="preserve"> authority, as described in Chapters </w:t>
      </w:r>
      <w:hyperlink r:id="rId7" w:history="1">
        <w:r>
          <w:rPr>
            <w:rStyle w:val="Hyperlink"/>
          </w:rPr>
          <w:t>VII</w:t>
        </w:r>
      </w:hyperlink>
      <w:r>
        <w:t xml:space="preserve"> and </w:t>
      </w:r>
      <w:hyperlink r:id="rId8" w:history="1">
        <w:r>
          <w:rPr>
            <w:rStyle w:val="Hyperlink"/>
          </w:rPr>
          <w:t>X</w:t>
        </w:r>
      </w:hyperlink>
      <w:r>
        <w:t xml:space="preserve">, a grantee can internally approve an increase or decrease in person months devoted to the project after an award is made, even if doing so results in salary support for senior personnel exceeding the two-month salary policy. No prior approval from NSF is necessary unless the </w:t>
      </w:r>
      <w:proofErr w:type="spellStart"/>
      <w:r>
        <w:t>rebudgeting</w:t>
      </w:r>
      <w:proofErr w:type="spellEnd"/>
      <w:r>
        <w:t xml:space="preserve"> would cause the objectives or scope of the project to change. NSF prior approval is necessary if the objectives or scope of the project change.</w:t>
      </w:r>
    </w:p>
    <w:p w:rsidR="00892185" w:rsidRDefault="00892185" w:rsidP="00892185">
      <w:pPr>
        <w:rPr>
          <w:rFonts w:ascii="Calibri" w:hAnsi="Calibri" w:cs="Calibri"/>
          <w:color w:val="1F497D"/>
        </w:rPr>
      </w:pPr>
    </w:p>
    <w:p w:rsidR="00892185" w:rsidRDefault="00892185" w:rsidP="00892185">
      <w:pPr>
        <w:rPr>
          <w:rFonts w:ascii="Calibri" w:hAnsi="Calibri" w:cs="Calibri"/>
          <w:color w:val="1F497D"/>
        </w:rPr>
      </w:pPr>
      <w:r w:rsidRPr="00CE1966">
        <w:rPr>
          <w:rFonts w:ascii="Calibri" w:hAnsi="Calibri" w:cs="Calibri"/>
          <w:color w:val="1F497D"/>
          <w:highlight w:val="yellow"/>
        </w:rPr>
        <w:t>So the 2/9ths rule still exists. If it is not in the approved budget then OSP can approve going over the 2/9ths but it must be preapproved by post award and documented.</w:t>
      </w:r>
    </w:p>
    <w:p w:rsidR="00892185" w:rsidRDefault="00892185" w:rsidP="003005F5">
      <w:pPr>
        <w:pStyle w:val="NormalWeb"/>
        <w:rPr>
          <w:rFonts w:ascii="Calibri" w:hAnsi="Calibri"/>
          <w:color w:val="000000"/>
        </w:rPr>
      </w:pPr>
    </w:p>
    <w:p w:rsidR="003005F5" w:rsidRDefault="003005F5" w:rsidP="003005F5">
      <w:pPr>
        <w:pStyle w:val="NormalWeb"/>
        <w:rPr>
          <w:rFonts w:ascii="Calibri" w:hAnsi="Calibri"/>
          <w:color w:val="000000"/>
        </w:rPr>
      </w:pPr>
    </w:p>
    <w:sectPr w:rsidR="00300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05C0"/>
    <w:multiLevelType w:val="hybridMultilevel"/>
    <w:tmpl w:val="A44463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232597"/>
    <w:multiLevelType w:val="hybridMultilevel"/>
    <w:tmpl w:val="B20A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7B8F"/>
    <w:multiLevelType w:val="hybridMultilevel"/>
    <w:tmpl w:val="8D84A362"/>
    <w:lvl w:ilvl="0" w:tplc="1B5C1D8E">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B6A0D4A"/>
    <w:multiLevelType w:val="hybridMultilevel"/>
    <w:tmpl w:val="9932AA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3C1E190B"/>
    <w:multiLevelType w:val="hybridMultilevel"/>
    <w:tmpl w:val="7E120D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E145A"/>
    <w:multiLevelType w:val="hybridMultilevel"/>
    <w:tmpl w:val="EEB40E5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C2154"/>
    <w:multiLevelType w:val="hybridMultilevel"/>
    <w:tmpl w:val="62F23ACC"/>
    <w:lvl w:ilvl="0" w:tplc="0C34750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3917C3"/>
    <w:multiLevelType w:val="hybridMultilevel"/>
    <w:tmpl w:val="81F4CE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6"/>
  </w:num>
  <w:num w:numId="3">
    <w:abstractNumId w:val="7"/>
  </w:num>
  <w:num w:numId="4">
    <w:abstractNumId w:val="0"/>
  </w:num>
  <w:num w:numId="5">
    <w:abstractNumId w:val="2"/>
  </w:num>
  <w:num w:numId="6">
    <w:abstractNumId w:val="5"/>
  </w:num>
  <w:num w:numId="7">
    <w:abstractNumId w:val="3"/>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67"/>
    <w:rsid w:val="000473B9"/>
    <w:rsid w:val="0005779D"/>
    <w:rsid w:val="00090165"/>
    <w:rsid w:val="000B2869"/>
    <w:rsid w:val="000B30C3"/>
    <w:rsid w:val="000B4984"/>
    <w:rsid w:val="000F47F5"/>
    <w:rsid w:val="00115E5E"/>
    <w:rsid w:val="00197205"/>
    <w:rsid w:val="00212D67"/>
    <w:rsid w:val="002421E4"/>
    <w:rsid w:val="0027342B"/>
    <w:rsid w:val="002A6A3C"/>
    <w:rsid w:val="002B2D93"/>
    <w:rsid w:val="002F657E"/>
    <w:rsid w:val="002F69A3"/>
    <w:rsid w:val="003005F5"/>
    <w:rsid w:val="00302529"/>
    <w:rsid w:val="00353829"/>
    <w:rsid w:val="003744E0"/>
    <w:rsid w:val="00384B0A"/>
    <w:rsid w:val="003867F8"/>
    <w:rsid w:val="003C24F3"/>
    <w:rsid w:val="004019FB"/>
    <w:rsid w:val="00481956"/>
    <w:rsid w:val="00486419"/>
    <w:rsid w:val="004932A6"/>
    <w:rsid w:val="00497DC7"/>
    <w:rsid w:val="00497FE8"/>
    <w:rsid w:val="004A20EA"/>
    <w:rsid w:val="004C5C7F"/>
    <w:rsid w:val="00547F87"/>
    <w:rsid w:val="0057289A"/>
    <w:rsid w:val="00586C09"/>
    <w:rsid w:val="005F4728"/>
    <w:rsid w:val="005F6A5F"/>
    <w:rsid w:val="005F77D3"/>
    <w:rsid w:val="00611E88"/>
    <w:rsid w:val="00637AF0"/>
    <w:rsid w:val="0064421E"/>
    <w:rsid w:val="00645721"/>
    <w:rsid w:val="00651CAC"/>
    <w:rsid w:val="006726A3"/>
    <w:rsid w:val="006F2305"/>
    <w:rsid w:val="00712C45"/>
    <w:rsid w:val="007868C6"/>
    <w:rsid w:val="00806C19"/>
    <w:rsid w:val="008111B9"/>
    <w:rsid w:val="008901A7"/>
    <w:rsid w:val="00892185"/>
    <w:rsid w:val="008C42BF"/>
    <w:rsid w:val="008E26D0"/>
    <w:rsid w:val="008F518E"/>
    <w:rsid w:val="00935D40"/>
    <w:rsid w:val="00950DA9"/>
    <w:rsid w:val="00972616"/>
    <w:rsid w:val="00981D5F"/>
    <w:rsid w:val="009A2F73"/>
    <w:rsid w:val="009D66E5"/>
    <w:rsid w:val="009F1D43"/>
    <w:rsid w:val="009F4EC7"/>
    <w:rsid w:val="00A276FF"/>
    <w:rsid w:val="00A72317"/>
    <w:rsid w:val="00A95C9B"/>
    <w:rsid w:val="00B0756D"/>
    <w:rsid w:val="00B16757"/>
    <w:rsid w:val="00B16A40"/>
    <w:rsid w:val="00B82C42"/>
    <w:rsid w:val="00BD7476"/>
    <w:rsid w:val="00CE1966"/>
    <w:rsid w:val="00D5606F"/>
    <w:rsid w:val="00D65DCC"/>
    <w:rsid w:val="00D7182D"/>
    <w:rsid w:val="00D85BF0"/>
    <w:rsid w:val="00DC34E7"/>
    <w:rsid w:val="00DD4548"/>
    <w:rsid w:val="00DE5F8E"/>
    <w:rsid w:val="00E018DD"/>
    <w:rsid w:val="00E34511"/>
    <w:rsid w:val="00E55352"/>
    <w:rsid w:val="00EA1528"/>
    <w:rsid w:val="00EF2201"/>
    <w:rsid w:val="00EF50B0"/>
    <w:rsid w:val="00FE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5785CF-8867-4697-BED0-2FF56D26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93"/>
    <w:pPr>
      <w:ind w:left="720"/>
      <w:contextualSpacing/>
    </w:pPr>
  </w:style>
  <w:style w:type="paragraph" w:styleId="NoSpacing">
    <w:name w:val="No Spacing"/>
    <w:uiPriority w:val="1"/>
    <w:qFormat/>
    <w:rsid w:val="002B2D93"/>
    <w:pPr>
      <w:spacing w:after="0" w:line="240" w:lineRule="auto"/>
    </w:pPr>
    <w:rPr>
      <w:rFonts w:eastAsiaTheme="minorEastAsia"/>
    </w:rPr>
  </w:style>
  <w:style w:type="character" w:styleId="Hyperlink">
    <w:name w:val="Hyperlink"/>
    <w:basedOn w:val="DefaultParagraphFont"/>
    <w:uiPriority w:val="99"/>
    <w:unhideWhenUsed/>
    <w:rsid w:val="002421E4"/>
    <w:rPr>
      <w:color w:val="0563C1" w:themeColor="hyperlink"/>
      <w:u w:val="single"/>
    </w:rPr>
  </w:style>
  <w:style w:type="character" w:styleId="FollowedHyperlink">
    <w:name w:val="FollowedHyperlink"/>
    <w:basedOn w:val="DefaultParagraphFont"/>
    <w:uiPriority w:val="99"/>
    <w:semiHidden/>
    <w:unhideWhenUsed/>
    <w:rsid w:val="00EA1528"/>
    <w:rPr>
      <w:color w:val="954F72" w:themeColor="followedHyperlink"/>
      <w:u w:val="single"/>
    </w:rPr>
  </w:style>
  <w:style w:type="paragraph" w:styleId="BalloonText">
    <w:name w:val="Balloon Text"/>
    <w:basedOn w:val="Normal"/>
    <w:link w:val="BalloonTextChar"/>
    <w:uiPriority w:val="99"/>
    <w:semiHidden/>
    <w:unhideWhenUsed/>
    <w:rsid w:val="000B4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84"/>
    <w:rPr>
      <w:rFonts w:ascii="Segoe UI" w:hAnsi="Segoe UI" w:cs="Segoe UI"/>
      <w:sz w:val="18"/>
      <w:szCs w:val="18"/>
    </w:rPr>
  </w:style>
  <w:style w:type="paragraph" w:styleId="NormalWeb">
    <w:name w:val="Normal (Web)"/>
    <w:basedOn w:val="Normal"/>
    <w:uiPriority w:val="99"/>
    <w:semiHidden/>
    <w:unhideWhenUsed/>
    <w:rsid w:val="00651CAC"/>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92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02595">
      <w:bodyDiv w:val="1"/>
      <w:marLeft w:val="0"/>
      <w:marRight w:val="0"/>
      <w:marTop w:val="0"/>
      <w:marBottom w:val="0"/>
      <w:divBdr>
        <w:top w:val="none" w:sz="0" w:space="0" w:color="auto"/>
        <w:left w:val="none" w:sz="0" w:space="0" w:color="auto"/>
        <w:bottom w:val="none" w:sz="0" w:space="0" w:color="auto"/>
        <w:right w:val="none" w:sz="0" w:space="0" w:color="auto"/>
      </w:divBdr>
    </w:div>
    <w:div w:id="673916174">
      <w:bodyDiv w:val="1"/>
      <w:marLeft w:val="0"/>
      <w:marRight w:val="0"/>
      <w:marTop w:val="0"/>
      <w:marBottom w:val="0"/>
      <w:divBdr>
        <w:top w:val="none" w:sz="0" w:space="0" w:color="auto"/>
        <w:left w:val="none" w:sz="0" w:space="0" w:color="auto"/>
        <w:bottom w:val="none" w:sz="0" w:space="0" w:color="auto"/>
        <w:right w:val="none" w:sz="0" w:space="0" w:color="auto"/>
      </w:divBdr>
    </w:div>
    <w:div w:id="693313302">
      <w:bodyDiv w:val="1"/>
      <w:marLeft w:val="0"/>
      <w:marRight w:val="0"/>
      <w:marTop w:val="0"/>
      <w:marBottom w:val="0"/>
      <w:divBdr>
        <w:top w:val="none" w:sz="0" w:space="0" w:color="auto"/>
        <w:left w:val="none" w:sz="0" w:space="0" w:color="auto"/>
        <w:bottom w:val="none" w:sz="0" w:space="0" w:color="auto"/>
        <w:right w:val="none" w:sz="0" w:space="0" w:color="auto"/>
      </w:divBdr>
    </w:div>
    <w:div w:id="779028540">
      <w:bodyDiv w:val="1"/>
      <w:marLeft w:val="0"/>
      <w:marRight w:val="0"/>
      <w:marTop w:val="0"/>
      <w:marBottom w:val="0"/>
      <w:divBdr>
        <w:top w:val="none" w:sz="0" w:space="0" w:color="auto"/>
        <w:left w:val="none" w:sz="0" w:space="0" w:color="auto"/>
        <w:bottom w:val="none" w:sz="0" w:space="0" w:color="auto"/>
        <w:right w:val="none" w:sz="0" w:space="0" w:color="auto"/>
      </w:divBdr>
    </w:div>
    <w:div w:id="945649239">
      <w:bodyDiv w:val="1"/>
      <w:marLeft w:val="0"/>
      <w:marRight w:val="0"/>
      <w:marTop w:val="0"/>
      <w:marBottom w:val="0"/>
      <w:divBdr>
        <w:top w:val="none" w:sz="0" w:space="0" w:color="auto"/>
        <w:left w:val="none" w:sz="0" w:space="0" w:color="auto"/>
        <w:bottom w:val="none" w:sz="0" w:space="0" w:color="auto"/>
        <w:right w:val="none" w:sz="0" w:space="0" w:color="auto"/>
      </w:divBdr>
    </w:div>
    <w:div w:id="1103719283">
      <w:bodyDiv w:val="1"/>
      <w:marLeft w:val="0"/>
      <w:marRight w:val="0"/>
      <w:marTop w:val="0"/>
      <w:marBottom w:val="0"/>
      <w:divBdr>
        <w:top w:val="none" w:sz="0" w:space="0" w:color="auto"/>
        <w:left w:val="none" w:sz="0" w:space="0" w:color="auto"/>
        <w:bottom w:val="none" w:sz="0" w:space="0" w:color="auto"/>
        <w:right w:val="none" w:sz="0" w:space="0" w:color="auto"/>
      </w:divBdr>
    </w:div>
    <w:div w:id="1234122474">
      <w:bodyDiv w:val="1"/>
      <w:marLeft w:val="0"/>
      <w:marRight w:val="0"/>
      <w:marTop w:val="0"/>
      <w:marBottom w:val="0"/>
      <w:divBdr>
        <w:top w:val="none" w:sz="0" w:space="0" w:color="auto"/>
        <w:left w:val="none" w:sz="0" w:space="0" w:color="auto"/>
        <w:bottom w:val="none" w:sz="0" w:space="0" w:color="auto"/>
        <w:right w:val="none" w:sz="0" w:space="0" w:color="auto"/>
      </w:divBdr>
    </w:div>
    <w:div w:id="1260065672">
      <w:bodyDiv w:val="1"/>
      <w:marLeft w:val="0"/>
      <w:marRight w:val="0"/>
      <w:marTop w:val="0"/>
      <w:marBottom w:val="0"/>
      <w:divBdr>
        <w:top w:val="none" w:sz="0" w:space="0" w:color="auto"/>
        <w:left w:val="none" w:sz="0" w:space="0" w:color="auto"/>
        <w:bottom w:val="none" w:sz="0" w:space="0" w:color="auto"/>
        <w:right w:val="none" w:sz="0" w:space="0" w:color="auto"/>
      </w:divBdr>
    </w:div>
    <w:div w:id="1306203820">
      <w:bodyDiv w:val="1"/>
      <w:marLeft w:val="0"/>
      <w:marRight w:val="0"/>
      <w:marTop w:val="0"/>
      <w:marBottom w:val="0"/>
      <w:divBdr>
        <w:top w:val="none" w:sz="0" w:space="0" w:color="auto"/>
        <w:left w:val="none" w:sz="0" w:space="0" w:color="auto"/>
        <w:bottom w:val="none" w:sz="0" w:space="0" w:color="auto"/>
        <w:right w:val="none" w:sz="0" w:space="0" w:color="auto"/>
      </w:divBdr>
    </w:div>
    <w:div w:id="1370955787">
      <w:bodyDiv w:val="1"/>
      <w:marLeft w:val="0"/>
      <w:marRight w:val="0"/>
      <w:marTop w:val="0"/>
      <w:marBottom w:val="0"/>
      <w:divBdr>
        <w:top w:val="none" w:sz="0" w:space="0" w:color="auto"/>
        <w:left w:val="none" w:sz="0" w:space="0" w:color="auto"/>
        <w:bottom w:val="none" w:sz="0" w:space="0" w:color="auto"/>
        <w:right w:val="none" w:sz="0" w:space="0" w:color="auto"/>
      </w:divBdr>
    </w:div>
    <w:div w:id="15359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s/policydocs/pappg19_1/pappg_10.jsp" TargetMode="External"/><Relationship Id="rId3" Type="http://schemas.openxmlformats.org/officeDocument/2006/relationships/settings" Target="settings.xml"/><Relationship Id="rId7" Type="http://schemas.openxmlformats.org/officeDocument/2006/relationships/hyperlink" Target="https://www.nsf.gov/pubs/policydocs/pappg19_1/pappg_7.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f.gov/pubs/policydocs/pappg19_1/pappg_2.jsp" TargetMode="External"/><Relationship Id="rId5" Type="http://schemas.openxmlformats.org/officeDocument/2006/relationships/hyperlink" Target="https://www.nsf.gov/pubs/policydocs/pappg19_1/pappg_2.j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Bilderback, Ann-Marie (abilderback@uidaho.edu)</cp:lastModifiedBy>
  <cp:revision>2</cp:revision>
  <cp:lastPrinted>2019-04-12T20:17:00Z</cp:lastPrinted>
  <dcterms:created xsi:type="dcterms:W3CDTF">2019-04-15T17:38:00Z</dcterms:created>
  <dcterms:modified xsi:type="dcterms:W3CDTF">2019-04-15T17:38:00Z</dcterms:modified>
</cp:coreProperties>
</file>