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5AB4" w14:textId="21498344" w:rsidR="00314F23" w:rsidRDefault="000E12B7" w:rsidP="00314F23">
      <w:pPr>
        <w:jc w:val="center"/>
      </w:pPr>
      <w:r>
        <w:rPr>
          <w:sz w:val="28"/>
          <w:szCs w:val="28"/>
        </w:rPr>
        <w:t xml:space="preserve">RE: </w:t>
      </w:r>
      <w:r w:rsidR="00E91A32" w:rsidRPr="00314F23">
        <w:rPr>
          <w:sz w:val="28"/>
          <w:szCs w:val="28"/>
        </w:rPr>
        <w:t>DGA Rou</w:t>
      </w:r>
      <w:r w:rsidR="00780E64" w:rsidRPr="00314F23">
        <w:rPr>
          <w:sz w:val="28"/>
          <w:szCs w:val="28"/>
        </w:rPr>
        <w:t>n</w:t>
      </w:r>
      <w:r w:rsidR="00E91A32" w:rsidRPr="00314F23">
        <w:rPr>
          <w:sz w:val="28"/>
          <w:szCs w:val="28"/>
        </w:rPr>
        <w:t xml:space="preserve">dtable </w:t>
      </w:r>
      <w:r w:rsidR="00780E64" w:rsidRPr="00314F23">
        <w:rPr>
          <w:sz w:val="28"/>
          <w:szCs w:val="28"/>
        </w:rPr>
        <w:t>Agenda</w:t>
      </w:r>
    </w:p>
    <w:p w14:paraId="444EBAA5" w14:textId="12334FCC" w:rsidR="00E91A32" w:rsidRDefault="00493B4F" w:rsidP="00314F23">
      <w:pPr>
        <w:jc w:val="center"/>
      </w:pPr>
      <w:r>
        <w:rPr>
          <w:sz w:val="24"/>
          <w:szCs w:val="24"/>
        </w:rPr>
        <w:t>April 28</w:t>
      </w:r>
      <w:r w:rsidR="00BF065F">
        <w:rPr>
          <w:sz w:val="24"/>
          <w:szCs w:val="24"/>
        </w:rPr>
        <w:t>,</w:t>
      </w:r>
      <w:r w:rsidR="006B363A" w:rsidRPr="00314F23">
        <w:rPr>
          <w:sz w:val="24"/>
          <w:szCs w:val="24"/>
        </w:rPr>
        <w:t xml:space="preserve"> </w:t>
      </w:r>
      <w:proofErr w:type="gramStart"/>
      <w:r w:rsidR="006B363A" w:rsidRPr="00314F23">
        <w:rPr>
          <w:sz w:val="24"/>
          <w:szCs w:val="24"/>
        </w:rPr>
        <w:t>202</w:t>
      </w:r>
      <w:r w:rsidR="004F0334">
        <w:rPr>
          <w:sz w:val="24"/>
          <w:szCs w:val="24"/>
        </w:rPr>
        <w:t>2</w:t>
      </w:r>
      <w:proofErr w:type="gramEnd"/>
      <w:r w:rsidR="00314F23">
        <w:rPr>
          <w:sz w:val="24"/>
          <w:szCs w:val="24"/>
        </w:rPr>
        <w:t xml:space="preserve">   1</w:t>
      </w:r>
      <w:r w:rsidR="00E91A32" w:rsidRPr="00E1071D">
        <w:rPr>
          <w:sz w:val="24"/>
          <w:szCs w:val="24"/>
        </w:rPr>
        <w:t xml:space="preserve">:30- </w:t>
      </w:r>
      <w:r w:rsidR="00387851" w:rsidRPr="00E1071D">
        <w:rPr>
          <w:sz w:val="24"/>
          <w:szCs w:val="24"/>
        </w:rPr>
        <w:t>2:</w:t>
      </w:r>
      <w:r w:rsidR="00E1071D" w:rsidRPr="00E1071D">
        <w:rPr>
          <w:sz w:val="24"/>
          <w:szCs w:val="24"/>
        </w:rPr>
        <w:t>45</w:t>
      </w:r>
      <w:r w:rsidR="00041AC7" w:rsidRPr="00E1071D">
        <w:rPr>
          <w:sz w:val="24"/>
          <w:szCs w:val="24"/>
        </w:rPr>
        <w:t xml:space="preserve"> pm</w:t>
      </w:r>
      <w:r w:rsidR="00314F23" w:rsidRPr="00E1071D">
        <w:rPr>
          <w:sz w:val="24"/>
          <w:szCs w:val="24"/>
        </w:rPr>
        <w:t xml:space="preserve"> via zoom</w:t>
      </w:r>
      <w:r w:rsidR="00314F23">
        <w:t xml:space="preserve"> </w:t>
      </w:r>
    </w:p>
    <w:p w14:paraId="7A41BEAE" w14:textId="77777777" w:rsidR="00314F23" w:rsidRDefault="00314F23" w:rsidP="00314F23">
      <w:pPr>
        <w:jc w:val="center"/>
      </w:pPr>
    </w:p>
    <w:p w14:paraId="1B5B1573" w14:textId="706BFF6F" w:rsidR="00E91A32" w:rsidRDefault="00E91A32" w:rsidP="00E91A32">
      <w:bookmarkStart w:id="0" w:name="_Hlk41382538"/>
      <w:r>
        <w:t>Zoom Join form PC, Mac Linux. iOS or Android</w:t>
      </w:r>
      <w:r w:rsidR="006B363A">
        <w:t xml:space="preserve"> </w:t>
      </w:r>
      <w:hyperlink r:id="rId7" w:history="1">
        <w:r w:rsidR="00E1071D">
          <w:rPr>
            <w:rStyle w:val="Hyperlink"/>
          </w:rPr>
          <w:t>https://uidaho.zoom.us/j/86028305542</w:t>
        </w:r>
      </w:hyperlink>
    </w:p>
    <w:p w14:paraId="58FFB189" w14:textId="0A91BAB5" w:rsidR="00E1071D" w:rsidRPr="00121284" w:rsidRDefault="00E1071D" w:rsidP="00E91A32">
      <w:r>
        <w:t xml:space="preserve">Meeting ID: 860 2830 5542 </w:t>
      </w:r>
      <w:r>
        <w:br/>
      </w:r>
      <w:r w:rsidRPr="00E1071D">
        <w:rPr>
          <w:highlight w:val="yellow"/>
        </w:rPr>
        <w:t>Passcode: 2145</w:t>
      </w:r>
    </w:p>
    <w:p w14:paraId="10529786" w14:textId="55EBE888" w:rsidR="00E91A32" w:rsidRPr="00E91A32" w:rsidRDefault="00E91A32" w:rsidP="00E91A32">
      <w:pPr>
        <w:rPr>
          <w:b/>
        </w:rPr>
      </w:pPr>
      <w:r>
        <w:rPr>
          <w:b/>
        </w:rPr>
        <w:t>See calendar invite for additional details on zoom access</w:t>
      </w:r>
      <w:r w:rsidR="00E1071D">
        <w:rPr>
          <w:b/>
        </w:rPr>
        <w:t>, including call-in information</w:t>
      </w:r>
      <w:r>
        <w:rPr>
          <w:b/>
        </w:rPr>
        <w:t xml:space="preserve">.  </w:t>
      </w:r>
    </w:p>
    <w:bookmarkEnd w:id="0"/>
    <w:p w14:paraId="14F33F9B" w14:textId="77777777" w:rsidR="00B53DC5" w:rsidRDefault="00B53DC5" w:rsidP="00B53DC5">
      <w:pPr>
        <w:spacing w:after="0" w:line="360" w:lineRule="auto"/>
        <w:rPr>
          <w:b/>
          <w:i/>
        </w:rPr>
      </w:pPr>
    </w:p>
    <w:p w14:paraId="2DE602BF" w14:textId="396FDCFB" w:rsidR="00B53DC5" w:rsidRPr="00747E4A" w:rsidRDefault="00E1071D" w:rsidP="00B53DC5">
      <w:pPr>
        <w:spacing w:after="0" w:line="360" w:lineRule="auto"/>
        <w:rPr>
          <w:b/>
          <w:i/>
        </w:rPr>
      </w:pPr>
      <w:r>
        <w:rPr>
          <w:b/>
          <w:i/>
        </w:rPr>
        <w:t xml:space="preserve">Reminder: </w:t>
      </w:r>
      <w:r w:rsidR="00B53DC5" w:rsidRPr="00747E4A">
        <w:rPr>
          <w:b/>
          <w:i/>
        </w:rPr>
        <w:t xml:space="preserve">Zoom meeting protocol – </w:t>
      </w:r>
    </w:p>
    <w:p w14:paraId="6C041C12" w14:textId="300AC2D2" w:rsidR="00B53DC5" w:rsidRPr="006B7B61" w:rsidRDefault="00B53DC5" w:rsidP="00B53DC5">
      <w:pPr>
        <w:spacing w:after="0" w:line="240" w:lineRule="auto"/>
        <w:ind w:left="720"/>
        <w:rPr>
          <w:i/>
        </w:rPr>
      </w:pPr>
      <w:r w:rsidRPr="00AB345A">
        <w:rPr>
          <w:i/>
          <w:highlight w:val="yellow"/>
        </w:rPr>
        <w:t xml:space="preserve">Please keep your microphones muted </w:t>
      </w:r>
      <w:r w:rsidR="00D23F17">
        <w:rPr>
          <w:i/>
          <w:highlight w:val="yellow"/>
        </w:rPr>
        <w:t xml:space="preserve">during </w:t>
      </w:r>
      <w:r w:rsidR="00121284">
        <w:rPr>
          <w:i/>
          <w:highlight w:val="yellow"/>
        </w:rPr>
        <w:t xml:space="preserve">the </w:t>
      </w:r>
      <w:r w:rsidR="00D23F17">
        <w:rPr>
          <w:i/>
          <w:highlight w:val="yellow"/>
        </w:rPr>
        <w:t>presentation and wait until the end for questions</w:t>
      </w:r>
      <w:r w:rsidR="00E1071D">
        <w:rPr>
          <w:i/>
          <w:highlight w:val="yellow"/>
        </w:rPr>
        <w:t xml:space="preserve"> unless the presenter has indicated otherwise</w:t>
      </w:r>
      <w:r w:rsidRPr="00AB345A">
        <w:rPr>
          <w:i/>
          <w:highlight w:val="yellow"/>
        </w:rPr>
        <w:t>.</w:t>
      </w:r>
    </w:p>
    <w:p w14:paraId="74B5D1B3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1F638BFC" w14:textId="77777777" w:rsidR="00E1071D" w:rsidRDefault="00D23F17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During the DGA Roundtable Discussion portion of the meeting, please wait for the person currently speaking to finish before </w:t>
      </w:r>
      <w:r w:rsidR="00FB4296">
        <w:rPr>
          <w:i/>
        </w:rPr>
        <w:t>asking any questions</w:t>
      </w:r>
      <w:r w:rsidR="00E1071D">
        <w:rPr>
          <w:i/>
        </w:rPr>
        <w:t xml:space="preserve">. </w:t>
      </w:r>
    </w:p>
    <w:p w14:paraId="62C3CBDD" w14:textId="178333B6" w:rsidR="00B53DC5" w:rsidRPr="006B7B61" w:rsidRDefault="00E1071D" w:rsidP="00B53DC5">
      <w:pPr>
        <w:spacing w:after="0" w:line="240" w:lineRule="auto"/>
        <w:ind w:left="720"/>
        <w:rPr>
          <w:i/>
        </w:rPr>
      </w:pPr>
      <w:r>
        <w:rPr>
          <w:i/>
        </w:rPr>
        <w:t xml:space="preserve">You can use the ‘raise hand’ function or </w:t>
      </w:r>
      <w:r w:rsidR="00FB4296">
        <w:rPr>
          <w:i/>
        </w:rPr>
        <w:t>you may also put your questions on chat</w:t>
      </w:r>
      <w:r>
        <w:rPr>
          <w:i/>
        </w:rPr>
        <w:t xml:space="preserve">. </w:t>
      </w:r>
    </w:p>
    <w:p w14:paraId="0C70D194" w14:textId="77777777" w:rsidR="00B53DC5" w:rsidRPr="006B7B61" w:rsidRDefault="00B53DC5" w:rsidP="00B53DC5">
      <w:pPr>
        <w:spacing w:after="0" w:line="240" w:lineRule="auto"/>
        <w:ind w:left="720"/>
        <w:rPr>
          <w:i/>
        </w:rPr>
      </w:pPr>
    </w:p>
    <w:p w14:paraId="2D0FDF55" w14:textId="55CFE5FE" w:rsidR="00121284" w:rsidRDefault="00B53DC5" w:rsidP="00121284">
      <w:pPr>
        <w:spacing w:after="0" w:line="240" w:lineRule="auto"/>
        <w:ind w:left="720"/>
        <w:rPr>
          <w:i/>
        </w:rPr>
      </w:pPr>
      <w:r w:rsidRPr="006B7B61">
        <w:rPr>
          <w:i/>
        </w:rPr>
        <w:t>Thank you</w:t>
      </w:r>
      <w:r w:rsidR="00D23F17">
        <w:rPr>
          <w:i/>
        </w:rPr>
        <w:t xml:space="preserve"> all for all that you do!</w:t>
      </w:r>
    </w:p>
    <w:p w14:paraId="23B71F4F" w14:textId="4338F1F7" w:rsidR="0037627B" w:rsidRDefault="0037627B" w:rsidP="00121284">
      <w:pPr>
        <w:spacing w:after="0" w:line="240" w:lineRule="auto"/>
        <w:ind w:left="720"/>
        <w:rPr>
          <w:i/>
        </w:rPr>
      </w:pPr>
    </w:p>
    <w:p w14:paraId="7025931B" w14:textId="77777777" w:rsidR="0083501F" w:rsidRDefault="0083501F" w:rsidP="00FD7F3F">
      <w:pPr>
        <w:spacing w:after="0" w:line="276" w:lineRule="auto"/>
      </w:pPr>
    </w:p>
    <w:p w14:paraId="524FC101" w14:textId="154C8986" w:rsidR="00F4209B" w:rsidRPr="00E1071D" w:rsidRDefault="00121284" w:rsidP="00FD7F3F">
      <w:pPr>
        <w:spacing w:after="0" w:line="276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Announcements – </w:t>
      </w:r>
    </w:p>
    <w:p w14:paraId="3444A7FB" w14:textId="77777777" w:rsidR="004F0334" w:rsidRPr="00647E86" w:rsidRDefault="004F0334" w:rsidP="00FD7F3F">
      <w:pPr>
        <w:spacing w:after="0" w:line="276" w:lineRule="auto"/>
        <w:rPr>
          <w:b/>
          <w:bCs/>
        </w:rPr>
      </w:pPr>
    </w:p>
    <w:p w14:paraId="471DAF23" w14:textId="1388588F" w:rsidR="00787E83" w:rsidRDefault="00C05E5F" w:rsidP="00E1071D">
      <w:pPr>
        <w:spacing w:after="0" w:line="276" w:lineRule="auto"/>
        <w:ind w:left="360"/>
      </w:pPr>
      <w:r>
        <w:t>Heather Clark</w:t>
      </w:r>
      <w:r w:rsidR="004F0334">
        <w:t xml:space="preserve"> – </w:t>
      </w:r>
    </w:p>
    <w:p w14:paraId="70BA17EC" w14:textId="76269305" w:rsidR="00C05E5F" w:rsidRDefault="00C05E5F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>Introduce New Grant Compliance Accountants, Shannon and Iman</w:t>
      </w:r>
    </w:p>
    <w:p w14:paraId="40E323B9" w14:textId="00C980DE" w:rsidR="00C05E5F" w:rsidRDefault="00C05E5F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 xml:space="preserve">Cost Share Report Update - </w:t>
      </w:r>
      <w:r w:rsidRPr="00C05E5F">
        <w:t xml:space="preserve">Adding </w:t>
      </w:r>
      <w:r>
        <w:t xml:space="preserve">new filters: </w:t>
      </w:r>
      <w:r w:rsidRPr="00C05E5F">
        <w:t>active, inactive, college, or org (dept) PDF and Excel</w:t>
      </w:r>
    </w:p>
    <w:p w14:paraId="4D616BFC" w14:textId="5F03A0A7" w:rsidR="00AC3052" w:rsidRDefault="00AC3052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 xml:space="preserve">Cost Share Posting and </w:t>
      </w:r>
      <w:proofErr w:type="spellStart"/>
      <w:r>
        <w:t>ECodes</w:t>
      </w:r>
      <w:proofErr w:type="spellEnd"/>
    </w:p>
    <w:p w14:paraId="353067D8" w14:textId="402C4091" w:rsidR="00C05E5F" w:rsidRDefault="00C05E5F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>Year end</w:t>
      </w:r>
    </w:p>
    <w:p w14:paraId="6530FE60" w14:textId="63D0F483" w:rsidR="00C05E5F" w:rsidRDefault="00846804" w:rsidP="00C05E5F">
      <w:pPr>
        <w:pStyle w:val="ListParagraph"/>
        <w:numPr>
          <w:ilvl w:val="0"/>
          <w:numId w:val="28"/>
        </w:numPr>
        <w:spacing w:after="0" w:line="276" w:lineRule="auto"/>
      </w:pPr>
      <w:r>
        <w:t>External Audit – R&amp;D</w:t>
      </w:r>
    </w:p>
    <w:p w14:paraId="051C1334" w14:textId="6B240D49" w:rsidR="00E1071D" w:rsidRDefault="00E1071D" w:rsidP="00E1071D">
      <w:pPr>
        <w:spacing w:after="0" w:line="276" w:lineRule="auto"/>
      </w:pPr>
    </w:p>
    <w:p w14:paraId="611EA06E" w14:textId="7A7A773D" w:rsidR="00E1071D" w:rsidRDefault="00E1071D" w:rsidP="00E1071D">
      <w:pPr>
        <w:spacing w:after="0" w:line="276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t xml:space="preserve">Content – </w:t>
      </w:r>
      <w:r w:rsidR="00787E83">
        <w:rPr>
          <w:b/>
          <w:bCs/>
          <w:sz w:val="28"/>
          <w:szCs w:val="28"/>
        </w:rPr>
        <w:t xml:space="preserve">Heather </w:t>
      </w:r>
      <w:proofErr w:type="spellStart"/>
      <w:r w:rsidR="00846804">
        <w:rPr>
          <w:b/>
          <w:bCs/>
          <w:sz w:val="28"/>
          <w:szCs w:val="28"/>
        </w:rPr>
        <w:t>Taff</w:t>
      </w:r>
      <w:proofErr w:type="spellEnd"/>
      <w:r w:rsidR="00787E83">
        <w:rPr>
          <w:b/>
          <w:bCs/>
          <w:sz w:val="28"/>
          <w:szCs w:val="28"/>
        </w:rPr>
        <w:t xml:space="preserve"> and </w:t>
      </w:r>
      <w:r w:rsidR="00846804">
        <w:rPr>
          <w:b/>
          <w:bCs/>
          <w:sz w:val="28"/>
          <w:szCs w:val="28"/>
        </w:rPr>
        <w:t>Heather Clark</w:t>
      </w:r>
    </w:p>
    <w:p w14:paraId="473D5566" w14:textId="2C52CBA6" w:rsidR="00846804" w:rsidRPr="00917391" w:rsidRDefault="00917391" w:rsidP="00846804">
      <w:pPr>
        <w:pStyle w:val="ListParagraph"/>
        <w:numPr>
          <w:ilvl w:val="0"/>
          <w:numId w:val="29"/>
        </w:numPr>
        <w:spacing w:after="0" w:line="276" w:lineRule="auto"/>
      </w:pPr>
      <w:r w:rsidRPr="00917391">
        <w:t xml:space="preserve">Items Excluded from </w:t>
      </w:r>
      <w:r w:rsidR="00846804" w:rsidRPr="00917391">
        <w:t xml:space="preserve">Indirect Costs and </w:t>
      </w:r>
      <w:r w:rsidRPr="00917391">
        <w:t xml:space="preserve">Indirect Cost Base – Heather </w:t>
      </w:r>
      <w:proofErr w:type="spellStart"/>
      <w:r w:rsidRPr="00917391">
        <w:t>Taff</w:t>
      </w:r>
      <w:proofErr w:type="spellEnd"/>
    </w:p>
    <w:p w14:paraId="7F5B76BE" w14:textId="2E139FC6" w:rsidR="00917391" w:rsidRPr="00917391" w:rsidRDefault="00917391" w:rsidP="00846804">
      <w:pPr>
        <w:pStyle w:val="ListParagraph"/>
        <w:numPr>
          <w:ilvl w:val="0"/>
          <w:numId w:val="29"/>
        </w:numPr>
        <w:spacing w:after="0" w:line="276" w:lineRule="auto"/>
      </w:pPr>
      <w:r>
        <w:t>Closeout Process – Heather Clark</w:t>
      </w:r>
    </w:p>
    <w:p w14:paraId="241AFDF9" w14:textId="4DC54CD0" w:rsidR="00A02C98" w:rsidRDefault="00A02C98" w:rsidP="00E1071D">
      <w:pPr>
        <w:spacing w:after="0" w:line="276" w:lineRule="auto"/>
      </w:pPr>
    </w:p>
    <w:p w14:paraId="25209ABC" w14:textId="6EDCE999" w:rsidR="00032806" w:rsidRDefault="00032806" w:rsidP="00E1071D">
      <w:pPr>
        <w:spacing w:after="0" w:line="276" w:lineRule="auto"/>
      </w:pPr>
    </w:p>
    <w:p w14:paraId="2BFA817A" w14:textId="4445F891" w:rsidR="00032806" w:rsidRDefault="00032806" w:rsidP="00E1071D">
      <w:pPr>
        <w:spacing w:after="0" w:line="276" w:lineRule="auto"/>
      </w:pPr>
    </w:p>
    <w:p w14:paraId="4B5DA4F2" w14:textId="77777777" w:rsidR="00032806" w:rsidRDefault="00032806" w:rsidP="00E1071D">
      <w:pPr>
        <w:spacing w:after="0" w:line="276" w:lineRule="auto"/>
      </w:pPr>
    </w:p>
    <w:p w14:paraId="1DDED751" w14:textId="7BEA825F" w:rsidR="002F0DE8" w:rsidRPr="00032806" w:rsidRDefault="004A253F" w:rsidP="004F033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Content </w:t>
      </w:r>
      <w:r w:rsidR="00032806" w:rsidRPr="00032806">
        <w:rPr>
          <w:b/>
          <w:bCs/>
          <w:sz w:val="28"/>
          <w:szCs w:val="28"/>
        </w:rPr>
        <w:t>Notes:</w:t>
      </w:r>
    </w:p>
    <w:p w14:paraId="13080800" w14:textId="1A867F1A" w:rsidR="00AF6076" w:rsidRPr="00AF6076" w:rsidRDefault="00AF6076" w:rsidP="00AF6076">
      <w:pPr>
        <w:spacing w:line="240" w:lineRule="auto"/>
        <w:jc w:val="center"/>
        <w:rPr>
          <w:u w:val="single"/>
        </w:rPr>
      </w:pPr>
      <w:r w:rsidRPr="00AF6076">
        <w:rPr>
          <w:u w:val="single"/>
        </w:rPr>
        <w:t>Year</w:t>
      </w:r>
      <w:r>
        <w:rPr>
          <w:u w:val="single"/>
        </w:rPr>
        <w:t xml:space="preserve"> End Deadlines</w:t>
      </w:r>
    </w:p>
    <w:p w14:paraId="6CAE46CD" w14:textId="311ECCD4" w:rsidR="002F0DE8" w:rsidRPr="00586B70" w:rsidRDefault="002F0DE8" w:rsidP="004F0334">
      <w:pPr>
        <w:spacing w:line="240" w:lineRule="auto"/>
        <w:rPr>
          <w:sz w:val="20"/>
          <w:szCs w:val="20"/>
        </w:rPr>
      </w:pPr>
      <w:r w:rsidRPr="00586B70">
        <w:rPr>
          <w:b/>
          <w:bCs/>
          <w:sz w:val="20"/>
          <w:szCs w:val="20"/>
        </w:rPr>
        <w:t>Labor Redistributions</w:t>
      </w:r>
      <w:r w:rsidRPr="00586B70">
        <w:rPr>
          <w:sz w:val="20"/>
          <w:szCs w:val="20"/>
        </w:rPr>
        <w:t xml:space="preserve"> last day to submit June</w:t>
      </w:r>
      <w:r w:rsidR="00AF6076" w:rsidRPr="00586B70">
        <w:rPr>
          <w:sz w:val="20"/>
          <w:szCs w:val="20"/>
        </w:rPr>
        <w:t xml:space="preserve"> 27, 2022</w:t>
      </w:r>
    </w:p>
    <w:p w14:paraId="1700F7CD" w14:textId="4C584807" w:rsidR="000439D4" w:rsidRPr="00586B70" w:rsidRDefault="00AF6076" w:rsidP="004F0334">
      <w:pPr>
        <w:spacing w:line="240" w:lineRule="auto"/>
        <w:rPr>
          <w:sz w:val="20"/>
          <w:szCs w:val="20"/>
        </w:rPr>
      </w:pPr>
      <w:r w:rsidRPr="00586B70">
        <w:rPr>
          <w:b/>
          <w:bCs/>
          <w:sz w:val="20"/>
          <w:szCs w:val="20"/>
        </w:rPr>
        <w:t>Cost Transfer/Journals</w:t>
      </w:r>
      <w:r w:rsidRPr="00586B70">
        <w:rPr>
          <w:sz w:val="20"/>
          <w:szCs w:val="20"/>
        </w:rPr>
        <w:t xml:space="preserve"> due July 8, 2022</w:t>
      </w:r>
    </w:p>
    <w:p w14:paraId="71D00B9B" w14:textId="7B267A8F" w:rsidR="00AF6076" w:rsidRDefault="00AF6076" w:rsidP="004F0334">
      <w:pPr>
        <w:spacing w:line="240" w:lineRule="auto"/>
      </w:pPr>
      <w:r w:rsidRPr="00586B70">
        <w:rPr>
          <w:b/>
          <w:bCs/>
          <w:sz w:val="20"/>
          <w:szCs w:val="20"/>
        </w:rPr>
        <w:t>External Audit</w:t>
      </w:r>
      <w:r w:rsidRPr="00586B70">
        <w:rPr>
          <w:sz w:val="20"/>
          <w:szCs w:val="20"/>
        </w:rPr>
        <w:t>- R&amp;D Interim field work will begin June 6, 2022</w:t>
      </w:r>
    </w:p>
    <w:p w14:paraId="0E38C999" w14:textId="77777777" w:rsidR="00AF6076" w:rsidRDefault="00AF6076" w:rsidP="004F0334">
      <w:pPr>
        <w:spacing w:line="240" w:lineRule="auto"/>
      </w:pPr>
    </w:p>
    <w:p w14:paraId="56C4FEE4" w14:textId="36A5975A" w:rsidR="00AB246E" w:rsidRPr="00AB246E" w:rsidRDefault="00AB246E" w:rsidP="00AB246E">
      <w:pPr>
        <w:spacing w:line="240" w:lineRule="auto"/>
        <w:jc w:val="center"/>
        <w:rPr>
          <w:u w:val="single"/>
        </w:rPr>
      </w:pPr>
      <w:r w:rsidRPr="00AB246E">
        <w:rPr>
          <w:u w:val="single"/>
        </w:rPr>
        <w:t>F&amp;A – Everything you want to know</w:t>
      </w:r>
    </w:p>
    <w:p w14:paraId="09AC391B" w14:textId="620DF133" w:rsidR="00AB246E" w:rsidRPr="00586B70" w:rsidRDefault="00AB246E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</w:rPr>
        <w:t xml:space="preserve">F&amp;A is recapturing of cost that </w:t>
      </w:r>
      <w:r w:rsidR="00586B70" w:rsidRPr="00586B70">
        <w:rPr>
          <w:sz w:val="20"/>
          <w:szCs w:val="20"/>
        </w:rPr>
        <w:t xml:space="preserve">the </w:t>
      </w:r>
      <w:r w:rsidRPr="00586B70">
        <w:rPr>
          <w:sz w:val="20"/>
          <w:szCs w:val="20"/>
        </w:rPr>
        <w:t xml:space="preserve">University </w:t>
      </w:r>
      <w:r w:rsidRPr="00586B70">
        <w:rPr>
          <w:sz w:val="20"/>
          <w:szCs w:val="20"/>
          <w:u w:val="single"/>
        </w:rPr>
        <w:t>already</w:t>
      </w:r>
      <w:r w:rsidRPr="00586B70">
        <w:rPr>
          <w:sz w:val="20"/>
          <w:szCs w:val="20"/>
        </w:rPr>
        <w:t xml:space="preserve"> paid</w:t>
      </w:r>
    </w:p>
    <w:p w14:paraId="22996BAD" w14:textId="072E53BC" w:rsidR="00AB246E" w:rsidRPr="00586B70" w:rsidRDefault="00F86287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  <w:u w:val="single"/>
        </w:rPr>
        <w:t>Indirect Cost Components</w:t>
      </w:r>
      <w:r w:rsidRPr="00586B70">
        <w:rPr>
          <w:sz w:val="20"/>
          <w:szCs w:val="20"/>
        </w:rPr>
        <w:t xml:space="preserve">: </w:t>
      </w:r>
      <w:r w:rsidR="00AB246E" w:rsidRPr="00586B70">
        <w:rPr>
          <w:sz w:val="20"/>
          <w:szCs w:val="20"/>
        </w:rPr>
        <w:t xml:space="preserve">Facilities </w:t>
      </w:r>
      <w:r w:rsidRPr="00586B70">
        <w:rPr>
          <w:sz w:val="20"/>
          <w:szCs w:val="20"/>
        </w:rPr>
        <w:t>(</w:t>
      </w:r>
      <w:r w:rsidR="00AB246E" w:rsidRPr="00586B70">
        <w:rPr>
          <w:sz w:val="20"/>
          <w:szCs w:val="20"/>
        </w:rPr>
        <w:t>is not capped</w:t>
      </w:r>
      <w:r w:rsidRPr="00586B70">
        <w:rPr>
          <w:sz w:val="20"/>
          <w:szCs w:val="20"/>
        </w:rPr>
        <w:t>)</w:t>
      </w:r>
      <w:r w:rsidR="00AB246E" w:rsidRPr="00586B70">
        <w:rPr>
          <w:sz w:val="20"/>
          <w:szCs w:val="20"/>
        </w:rPr>
        <w:t xml:space="preserve"> </w:t>
      </w:r>
      <w:r w:rsidRPr="00586B70">
        <w:rPr>
          <w:sz w:val="20"/>
          <w:szCs w:val="20"/>
        </w:rPr>
        <w:t>&amp; Administrative</w:t>
      </w:r>
    </w:p>
    <w:p w14:paraId="174F0AF9" w14:textId="5B1AC471" w:rsidR="00F86287" w:rsidRPr="00586B70" w:rsidRDefault="00F86287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  <w:u w:val="single"/>
        </w:rPr>
        <w:t>Direct Cost</w:t>
      </w:r>
      <w:r w:rsidRPr="00586B70">
        <w:rPr>
          <w:sz w:val="20"/>
          <w:szCs w:val="20"/>
        </w:rPr>
        <w:t>: this is cost directly charged to specific project</w:t>
      </w:r>
    </w:p>
    <w:p w14:paraId="2CEF1997" w14:textId="733C47E2" w:rsidR="00F86287" w:rsidRPr="00586B70" w:rsidRDefault="00F86287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  <w:u w:val="single"/>
        </w:rPr>
        <w:t>Indirect Cost</w:t>
      </w:r>
      <w:r w:rsidRPr="00586B70">
        <w:rPr>
          <w:sz w:val="20"/>
          <w:szCs w:val="20"/>
        </w:rPr>
        <w:t>: cost that cannot be identified to specific project</w:t>
      </w:r>
    </w:p>
    <w:p w14:paraId="70F475A4" w14:textId="65B242E3" w:rsidR="00F86287" w:rsidRPr="00586B70" w:rsidRDefault="00F86287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  <w:u w:val="single"/>
        </w:rPr>
        <w:t>Unallowable Cost</w:t>
      </w:r>
      <w:r w:rsidRPr="00586B70">
        <w:rPr>
          <w:sz w:val="20"/>
          <w:szCs w:val="20"/>
        </w:rPr>
        <w:t xml:space="preserve">: Found on uniform guidance </w:t>
      </w:r>
      <w:r w:rsidR="00463349" w:rsidRPr="00586B70">
        <w:rPr>
          <w:sz w:val="20"/>
          <w:szCs w:val="20"/>
        </w:rPr>
        <w:t>2 CFR 200</w:t>
      </w:r>
    </w:p>
    <w:p w14:paraId="2331CF2C" w14:textId="5DD85EF5" w:rsidR="00F86287" w:rsidRDefault="00F86287" w:rsidP="004F0334">
      <w:pPr>
        <w:spacing w:line="240" w:lineRule="auto"/>
      </w:pPr>
      <w:r>
        <w:rPr>
          <w:noProof/>
        </w:rPr>
        <w:drawing>
          <wp:inline distT="0" distB="0" distL="0" distR="0" wp14:anchorId="50BFBF02" wp14:editId="04011661">
            <wp:extent cx="4137147" cy="1247775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7283" cy="126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A2F5F" w14:textId="21F5FFE4" w:rsidR="00AB246E" w:rsidRPr="00586B70" w:rsidRDefault="009C7A1C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  <w:u w:val="single"/>
        </w:rPr>
        <w:t>Allowable under Certain Circumstances</w:t>
      </w:r>
      <w:r w:rsidRPr="00586B70">
        <w:rPr>
          <w:sz w:val="20"/>
          <w:szCs w:val="20"/>
        </w:rPr>
        <w:t>:</w:t>
      </w:r>
    </w:p>
    <w:p w14:paraId="756684D3" w14:textId="0774E6BD" w:rsidR="009C7A1C" w:rsidRDefault="009C7A1C" w:rsidP="004F0334">
      <w:pPr>
        <w:spacing w:line="240" w:lineRule="auto"/>
      </w:pPr>
      <w:r>
        <w:rPr>
          <w:noProof/>
        </w:rPr>
        <w:drawing>
          <wp:inline distT="0" distB="0" distL="0" distR="0" wp14:anchorId="68B10216" wp14:editId="1619ABBF">
            <wp:extent cx="3200400" cy="1139781"/>
            <wp:effectExtent l="0" t="0" r="0" b="381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6835" cy="11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6527" w14:textId="4B1CCFE7" w:rsidR="00586B70" w:rsidRDefault="00586B70" w:rsidP="004F0334">
      <w:pPr>
        <w:spacing w:line="240" w:lineRule="auto"/>
      </w:pPr>
    </w:p>
    <w:p w14:paraId="32FC763A" w14:textId="2B60AFC7" w:rsidR="009C7A1C" w:rsidRPr="009C7A1C" w:rsidRDefault="004A253F" w:rsidP="009C7A1C">
      <w:pPr>
        <w:spacing w:line="240" w:lineRule="auto"/>
        <w:jc w:val="center"/>
        <w:rPr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DA9F2F" wp14:editId="2CBF6984">
            <wp:simplePos x="0" y="0"/>
            <wp:positionH relativeFrom="column">
              <wp:posOffset>3476625</wp:posOffset>
            </wp:positionH>
            <wp:positionV relativeFrom="paragraph">
              <wp:posOffset>247015</wp:posOffset>
            </wp:positionV>
            <wp:extent cx="2359636" cy="1341191"/>
            <wp:effectExtent l="0" t="0" r="3175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36" cy="1341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A1C" w:rsidRPr="009C7A1C">
        <w:rPr>
          <w:noProof/>
          <w:u w:val="single"/>
        </w:rPr>
        <w:t>Grant Closeout Process</w:t>
      </w:r>
    </w:p>
    <w:p w14:paraId="04D98C9F" w14:textId="69F7B307" w:rsidR="009C7A1C" w:rsidRPr="00586B70" w:rsidRDefault="009C7A1C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</w:rPr>
        <w:t>Preparing with 30-60-90 report</w:t>
      </w:r>
    </w:p>
    <w:p w14:paraId="64B61FF5" w14:textId="70096924" w:rsidR="00851F00" w:rsidRPr="00586B70" w:rsidRDefault="009C7A1C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</w:rPr>
        <w:t>Review of expenditures posted last 30 days</w:t>
      </w:r>
    </w:p>
    <w:p w14:paraId="263CB082" w14:textId="34138197" w:rsidR="009C7A1C" w:rsidRPr="00586B70" w:rsidRDefault="009C7A1C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</w:rPr>
        <w:t>DGA will prepare LR or CT if grant is overdrawn</w:t>
      </w:r>
    </w:p>
    <w:p w14:paraId="6B5F4CE7" w14:textId="6B18DD05" w:rsidR="00851F00" w:rsidRPr="00586B70" w:rsidRDefault="00851F00" w:rsidP="004F0334">
      <w:pPr>
        <w:spacing w:line="240" w:lineRule="auto"/>
        <w:rPr>
          <w:sz w:val="20"/>
          <w:szCs w:val="20"/>
        </w:rPr>
      </w:pPr>
      <w:r w:rsidRPr="00586B70">
        <w:rPr>
          <w:sz w:val="20"/>
          <w:szCs w:val="20"/>
        </w:rPr>
        <w:t>Review balance</w:t>
      </w:r>
    </w:p>
    <w:p w14:paraId="7EB2BEF6" w14:textId="6977DFC1" w:rsidR="00851F00" w:rsidRDefault="00851F00" w:rsidP="004F0334">
      <w:pPr>
        <w:spacing w:line="240" w:lineRule="auto"/>
      </w:pPr>
    </w:p>
    <w:p w14:paraId="438911F2" w14:textId="77777777" w:rsidR="00032806" w:rsidRPr="00E1071D" w:rsidRDefault="00032806" w:rsidP="00032806">
      <w:pPr>
        <w:spacing w:line="240" w:lineRule="auto"/>
        <w:rPr>
          <w:b/>
          <w:bCs/>
          <w:sz w:val="28"/>
          <w:szCs w:val="28"/>
        </w:rPr>
      </w:pPr>
      <w:r w:rsidRPr="00E1071D">
        <w:rPr>
          <w:b/>
          <w:bCs/>
          <w:sz w:val="28"/>
          <w:szCs w:val="28"/>
        </w:rPr>
        <w:lastRenderedPageBreak/>
        <w:t xml:space="preserve">General Questions/Concerns: </w:t>
      </w:r>
      <w:r>
        <w:rPr>
          <w:b/>
          <w:bCs/>
          <w:sz w:val="28"/>
          <w:szCs w:val="28"/>
        </w:rPr>
        <w:t>as time allows</w:t>
      </w:r>
    </w:p>
    <w:p w14:paraId="3B614205" w14:textId="77777777" w:rsidR="00032806" w:rsidRDefault="00032806" w:rsidP="00032806">
      <w:pPr>
        <w:spacing w:line="240" w:lineRule="auto"/>
      </w:pPr>
      <w:r>
        <w:t xml:space="preserve">(Tracy </w:t>
      </w:r>
      <w:proofErr w:type="spellStart"/>
      <w:r>
        <w:t>Kanikkeberg</w:t>
      </w:r>
      <w:proofErr w:type="spellEnd"/>
      <w:r>
        <w:t xml:space="preserve">) </w:t>
      </w:r>
    </w:p>
    <w:p w14:paraId="6C05647A" w14:textId="6E31434A" w:rsidR="00A558A4" w:rsidRDefault="00A558A4" w:rsidP="00032806">
      <w:pPr>
        <w:spacing w:line="240" w:lineRule="auto"/>
      </w:pPr>
      <w:r w:rsidRPr="00A558A4">
        <w:rPr>
          <w:u w:val="single"/>
        </w:rPr>
        <w:t xml:space="preserve">Question on </w:t>
      </w:r>
      <w:r w:rsidR="00032806" w:rsidRPr="00A558A4">
        <w:rPr>
          <w:u w:val="single"/>
        </w:rPr>
        <w:t>Per diem</w:t>
      </w:r>
      <w:r>
        <w:t>:</w:t>
      </w:r>
    </w:p>
    <w:p w14:paraId="1BB2435C" w14:textId="77777777" w:rsidR="00A558A4" w:rsidRDefault="00A558A4" w:rsidP="00032806">
      <w:pPr>
        <w:spacing w:line="240" w:lineRule="auto"/>
      </w:pPr>
      <w:r>
        <w:t>-I</w:t>
      </w:r>
      <w:r w:rsidR="00032806">
        <w:t xml:space="preserve">f </w:t>
      </w:r>
      <w:r>
        <w:t xml:space="preserve">an </w:t>
      </w:r>
      <w:r w:rsidR="00032806">
        <w:t>individual gets 50%</w:t>
      </w:r>
      <w:r>
        <w:t xml:space="preserve">, but </w:t>
      </w:r>
      <w:r w:rsidR="00032806">
        <w:t>take</w:t>
      </w:r>
      <w:r>
        <w:t>s</w:t>
      </w:r>
      <w:r w:rsidR="00032806">
        <w:t xml:space="preserve"> a dinner, </w:t>
      </w:r>
      <w:r>
        <w:t xml:space="preserve">how should this be entered? </w:t>
      </w:r>
    </w:p>
    <w:p w14:paraId="7C8258B0" w14:textId="2894E9D2" w:rsidR="00032806" w:rsidRDefault="00A558A4" w:rsidP="00A558A4">
      <w:pPr>
        <w:spacing w:line="240" w:lineRule="auto"/>
        <w:ind w:firstLine="720"/>
      </w:pPr>
      <w:r>
        <w:t>--I</w:t>
      </w:r>
      <w:r w:rsidR="00032806">
        <w:t>f we take out the meal then they end up in the negative.</w:t>
      </w:r>
    </w:p>
    <w:p w14:paraId="2F9147BB" w14:textId="77777777" w:rsidR="00032806" w:rsidRDefault="00032806" w:rsidP="00032806">
      <w:pPr>
        <w:spacing w:line="240" w:lineRule="auto"/>
      </w:pPr>
      <w:r>
        <w:t>-Should we go by what’s in writing or what software will allow?</w:t>
      </w:r>
    </w:p>
    <w:p w14:paraId="7379AB12" w14:textId="77777777" w:rsidR="00032806" w:rsidRDefault="00032806" w:rsidP="00032806">
      <w:pPr>
        <w:spacing w:line="240" w:lineRule="auto"/>
      </w:pPr>
      <w:r>
        <w:t>-Also, if they get 50%, if we take out a meal, does the meal come out at 100% or 50%?</w:t>
      </w:r>
    </w:p>
    <w:p w14:paraId="1DA4BF16" w14:textId="2228A9CA" w:rsidR="00032806" w:rsidRDefault="00032806" w:rsidP="00032806">
      <w:pPr>
        <w:spacing w:line="240" w:lineRule="auto"/>
      </w:pPr>
      <w:r w:rsidRPr="004A253F">
        <w:rPr>
          <w:i/>
          <w:iCs/>
          <w:highlight w:val="yellow"/>
        </w:rPr>
        <w:t>Resolution</w:t>
      </w:r>
      <w:r>
        <w:t>: This is something that will need more information from General Accounting and AP</w:t>
      </w:r>
    </w:p>
    <w:p w14:paraId="1160A43A" w14:textId="77777777" w:rsidR="00032806" w:rsidRDefault="00032806" w:rsidP="004F0334">
      <w:pPr>
        <w:spacing w:line="240" w:lineRule="auto"/>
      </w:pPr>
    </w:p>
    <w:p w14:paraId="367E823D" w14:textId="67A14186" w:rsidR="009C7A1C" w:rsidRDefault="00851F00" w:rsidP="004F0334">
      <w:pPr>
        <w:spacing w:line="240" w:lineRule="auto"/>
      </w:pPr>
      <w:r>
        <w:t>(</w:t>
      </w:r>
      <w:r w:rsidR="009C7A1C">
        <w:t>Nancy Morrison</w:t>
      </w:r>
      <w:r>
        <w:t>)</w:t>
      </w:r>
    </w:p>
    <w:p w14:paraId="5B1765D9" w14:textId="77777777" w:rsidR="004A253F" w:rsidRDefault="00851F00" w:rsidP="004F0334">
      <w:pPr>
        <w:spacing w:line="240" w:lineRule="auto"/>
      </w:pPr>
      <w:r w:rsidRPr="004A253F">
        <w:rPr>
          <w:u w:val="single"/>
        </w:rPr>
        <w:t>Question on review of exp at end of grant</w:t>
      </w:r>
      <w:r>
        <w:t xml:space="preserve">: </w:t>
      </w:r>
    </w:p>
    <w:p w14:paraId="1F2E2258" w14:textId="158CF172" w:rsidR="00032806" w:rsidRDefault="009C7A1C" w:rsidP="004F0334">
      <w:pPr>
        <w:spacing w:line="240" w:lineRule="auto"/>
      </w:pPr>
      <w:r>
        <w:t xml:space="preserve">Grant </w:t>
      </w:r>
      <w:r w:rsidR="00851F00">
        <w:t>was approved around</w:t>
      </w:r>
      <w:r>
        <w:t xml:space="preserve"> </w:t>
      </w:r>
      <w:r w:rsidR="00586B70">
        <w:t>mid-March</w:t>
      </w:r>
      <w:r>
        <w:t xml:space="preserve">, </w:t>
      </w:r>
      <w:r w:rsidR="00586B70">
        <w:t>however,</w:t>
      </w:r>
      <w:r w:rsidR="00851F00">
        <w:t xml:space="preserve"> </w:t>
      </w:r>
      <w:r>
        <w:t xml:space="preserve">ends </w:t>
      </w:r>
      <w:r w:rsidR="00586B70">
        <w:t>mid-June. This looks like expenditures (computer equipment) is being purchased towards end of grant, however it is due to short window for the project</w:t>
      </w:r>
      <w:r w:rsidR="004A253F">
        <w:t>. (Question is for allowability)</w:t>
      </w:r>
    </w:p>
    <w:p w14:paraId="13D9B31D" w14:textId="381194F9" w:rsidR="009C7A1C" w:rsidRDefault="00851F00" w:rsidP="004F0334">
      <w:pPr>
        <w:spacing w:line="240" w:lineRule="auto"/>
      </w:pPr>
      <w:r w:rsidRPr="004A253F">
        <w:rPr>
          <w:i/>
          <w:iCs/>
          <w:highlight w:val="yellow"/>
        </w:rPr>
        <w:t>Resolution</w:t>
      </w:r>
      <w:r>
        <w:t xml:space="preserve">: </w:t>
      </w:r>
      <w:r w:rsidR="009C7A1C">
        <w:t xml:space="preserve">Need to review what the purchase is being used for to determine </w:t>
      </w:r>
      <w:r>
        <w:t>allowability</w:t>
      </w:r>
      <w:r w:rsidR="009C7A1C">
        <w:t>.</w:t>
      </w:r>
      <w:r w:rsidR="004A253F">
        <w:t xml:space="preserve"> Handled on case-by-case basis</w:t>
      </w:r>
    </w:p>
    <w:p w14:paraId="0CF36988" w14:textId="71243682" w:rsidR="009C7A1C" w:rsidRDefault="009C7A1C" w:rsidP="004F0334">
      <w:pPr>
        <w:spacing w:line="240" w:lineRule="auto"/>
      </w:pPr>
    </w:p>
    <w:p w14:paraId="154C0A99" w14:textId="6AFD5E75" w:rsidR="009C7A1C" w:rsidRDefault="009750B1" w:rsidP="004F0334">
      <w:pPr>
        <w:spacing w:line="240" w:lineRule="auto"/>
      </w:pPr>
      <w:r>
        <w:t>(</w:t>
      </w:r>
      <w:r w:rsidR="00851F00">
        <w:t>Melanie</w:t>
      </w:r>
      <w:r>
        <w:t xml:space="preserve"> Christensen)</w:t>
      </w:r>
    </w:p>
    <w:p w14:paraId="49756242" w14:textId="77777777" w:rsidR="004A253F" w:rsidRDefault="004A253F" w:rsidP="004F0334">
      <w:pPr>
        <w:spacing w:line="240" w:lineRule="auto"/>
      </w:pPr>
      <w:r w:rsidRPr="004A253F">
        <w:rPr>
          <w:u w:val="single"/>
        </w:rPr>
        <w:t>Question on closeout process</w:t>
      </w:r>
      <w:r>
        <w:t>:</w:t>
      </w:r>
    </w:p>
    <w:p w14:paraId="34A98328" w14:textId="30BFCF03" w:rsidR="00032806" w:rsidRDefault="00851F00" w:rsidP="004F0334">
      <w:pPr>
        <w:spacing w:line="240" w:lineRule="auto"/>
      </w:pPr>
      <w:r>
        <w:t xml:space="preserve">When it says 90-day closeout, when is it started? </w:t>
      </w:r>
    </w:p>
    <w:p w14:paraId="22181D84" w14:textId="47E844F0" w:rsidR="00851F00" w:rsidRDefault="00851F00" w:rsidP="004F0334">
      <w:pPr>
        <w:spacing w:line="240" w:lineRule="auto"/>
      </w:pPr>
      <w:r w:rsidRPr="004A253F">
        <w:rPr>
          <w:i/>
          <w:iCs/>
          <w:highlight w:val="yellow"/>
        </w:rPr>
        <w:t>Resolution</w:t>
      </w:r>
      <w:r>
        <w:t xml:space="preserve">: 30 days prior to the close of grant, then 30 days </w:t>
      </w:r>
      <w:r w:rsidR="009750B1">
        <w:t xml:space="preserve">before </w:t>
      </w:r>
      <w:r>
        <w:t xml:space="preserve">the date we are going to </w:t>
      </w:r>
      <w:r w:rsidR="009750B1">
        <w:t xml:space="preserve">finalize </w:t>
      </w:r>
      <w:r>
        <w:t>clo</w:t>
      </w:r>
      <w:r w:rsidR="009750B1">
        <w:t>se</w:t>
      </w:r>
      <w:r>
        <w:t xml:space="preserve">out </w:t>
      </w:r>
      <w:r w:rsidR="00E326C4">
        <w:t xml:space="preserve">then </w:t>
      </w:r>
      <w:r>
        <w:t xml:space="preserve">OSP </w:t>
      </w:r>
      <w:r w:rsidR="00E326C4">
        <w:t>will continue to reach out</w:t>
      </w:r>
      <w:r>
        <w:t>. OSP is playing catch up</w:t>
      </w:r>
      <w:r w:rsidR="009750B1">
        <w:t xml:space="preserve">, so you might be seeing emails now for grants that </w:t>
      </w:r>
      <w:r w:rsidR="00E326C4">
        <w:t>are already in closeout.</w:t>
      </w:r>
    </w:p>
    <w:p w14:paraId="23EB92CA" w14:textId="77777777" w:rsidR="00135069" w:rsidRPr="00BF065F" w:rsidRDefault="00135069" w:rsidP="004F0334">
      <w:pPr>
        <w:spacing w:line="240" w:lineRule="auto"/>
      </w:pPr>
    </w:p>
    <w:sectPr w:rsidR="00135069" w:rsidRPr="00BF065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E929" w14:textId="77777777" w:rsidR="003C3E2B" w:rsidRDefault="003C3E2B" w:rsidP="00E1071D">
      <w:pPr>
        <w:spacing w:after="0" w:line="240" w:lineRule="auto"/>
      </w:pPr>
      <w:r>
        <w:separator/>
      </w:r>
    </w:p>
  </w:endnote>
  <w:endnote w:type="continuationSeparator" w:id="0">
    <w:p w14:paraId="7D6636EC" w14:textId="77777777" w:rsidR="003C3E2B" w:rsidRDefault="003C3E2B" w:rsidP="00E1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9620" w14:textId="77777777" w:rsidR="00E1071D" w:rsidRDefault="00E1071D" w:rsidP="00E1071D">
    <w:pPr>
      <w:pStyle w:val="NoSpacing"/>
      <w:rPr>
        <w:b/>
      </w:rPr>
    </w:pPr>
    <w:r>
      <w:rPr>
        <w:b/>
      </w:rPr>
      <w:t xml:space="preserve">Resources: </w:t>
    </w:r>
  </w:p>
  <w:p w14:paraId="317019CD" w14:textId="77777777" w:rsidR="00E1071D" w:rsidRDefault="00E1071D" w:rsidP="00E1071D">
    <w:pPr>
      <w:pStyle w:val="NoSpacing"/>
    </w:pPr>
    <w:r>
      <w:t xml:space="preserve">DGA Minutes and past handouts: </w:t>
    </w:r>
    <w:hyperlink r:id="rId1" w:anchor="accordion-row-4a8789b0-2d5b-426d-9175-eb516e227425-" w:history="1">
      <w:r>
        <w:rPr>
          <w:rStyle w:val="Hyperlink"/>
        </w:rPr>
        <w:t>https://www.uidaho.edu/research/faculty/dga#accordion-row-4a8789b0-2d5b-426d-9175-eb516e227425-</w:t>
      </w:r>
    </w:hyperlink>
    <w:r>
      <w:t xml:space="preserve"> </w:t>
    </w:r>
  </w:p>
  <w:p w14:paraId="349A8E96" w14:textId="77777777" w:rsidR="00E1071D" w:rsidRDefault="00E1071D" w:rsidP="00E1071D">
    <w:pPr>
      <w:pStyle w:val="NoSpacing"/>
    </w:pPr>
    <w:r>
      <w:t xml:space="preserve">DGA resource page on OSP site (helpful for PIs too): </w:t>
    </w:r>
    <w:hyperlink r:id="rId2" w:history="1">
      <w:r>
        <w:rPr>
          <w:rStyle w:val="Hyperlink"/>
        </w:rPr>
        <w:t>https://www.uidaho.edu/research/faculty/dga</w:t>
      </w:r>
    </w:hyperlink>
    <w:r>
      <w:t xml:space="preserve"> </w:t>
    </w:r>
  </w:p>
  <w:p w14:paraId="33B81AD7" w14:textId="77777777" w:rsidR="00E1071D" w:rsidRDefault="00E1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0A901" w14:textId="77777777" w:rsidR="003C3E2B" w:rsidRDefault="003C3E2B" w:rsidP="00E1071D">
      <w:pPr>
        <w:spacing w:after="0" w:line="240" w:lineRule="auto"/>
      </w:pPr>
      <w:r>
        <w:separator/>
      </w:r>
    </w:p>
  </w:footnote>
  <w:footnote w:type="continuationSeparator" w:id="0">
    <w:p w14:paraId="70AB4125" w14:textId="77777777" w:rsidR="003C3E2B" w:rsidRDefault="003C3E2B" w:rsidP="00E10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419D"/>
    <w:multiLevelType w:val="hybridMultilevel"/>
    <w:tmpl w:val="132AB5AE"/>
    <w:lvl w:ilvl="0" w:tplc="6E58AD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A4E6E"/>
    <w:multiLevelType w:val="hybridMultilevel"/>
    <w:tmpl w:val="4C4A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0651"/>
    <w:multiLevelType w:val="hybridMultilevel"/>
    <w:tmpl w:val="04D0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010"/>
    <w:multiLevelType w:val="hybridMultilevel"/>
    <w:tmpl w:val="19D8D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082C"/>
    <w:multiLevelType w:val="hybridMultilevel"/>
    <w:tmpl w:val="55B8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79F6"/>
    <w:multiLevelType w:val="hybridMultilevel"/>
    <w:tmpl w:val="447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5323E"/>
    <w:multiLevelType w:val="hybridMultilevel"/>
    <w:tmpl w:val="5E543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032F1"/>
    <w:multiLevelType w:val="hybridMultilevel"/>
    <w:tmpl w:val="EEEE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72DA"/>
    <w:multiLevelType w:val="hybridMultilevel"/>
    <w:tmpl w:val="B96284CE"/>
    <w:lvl w:ilvl="0" w:tplc="1BDC42A8">
      <w:start w:val="1"/>
      <w:numFmt w:val="lowerLetter"/>
      <w:lvlText w:val="%1."/>
      <w:lvlJc w:val="left"/>
      <w:pPr>
        <w:ind w:left="16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8335EEB"/>
    <w:multiLevelType w:val="hybridMultilevel"/>
    <w:tmpl w:val="AD3C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5BDB"/>
    <w:multiLevelType w:val="hybridMultilevel"/>
    <w:tmpl w:val="772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770D1"/>
    <w:multiLevelType w:val="hybridMultilevel"/>
    <w:tmpl w:val="0CFED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0524A"/>
    <w:multiLevelType w:val="hybridMultilevel"/>
    <w:tmpl w:val="4D54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B3D28"/>
    <w:multiLevelType w:val="hybridMultilevel"/>
    <w:tmpl w:val="992C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13A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804F03"/>
    <w:multiLevelType w:val="hybridMultilevel"/>
    <w:tmpl w:val="D2AED2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FC1A83"/>
    <w:multiLevelType w:val="hybridMultilevel"/>
    <w:tmpl w:val="167E63DA"/>
    <w:lvl w:ilvl="0" w:tplc="81702B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B5B60"/>
    <w:multiLevelType w:val="hybridMultilevel"/>
    <w:tmpl w:val="1174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E26EA"/>
    <w:multiLevelType w:val="hybridMultilevel"/>
    <w:tmpl w:val="3B5EFA72"/>
    <w:lvl w:ilvl="0" w:tplc="81702B0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D6EC5"/>
    <w:multiLevelType w:val="hybridMultilevel"/>
    <w:tmpl w:val="44F0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764AE"/>
    <w:multiLevelType w:val="hybridMultilevel"/>
    <w:tmpl w:val="22B62AEA"/>
    <w:lvl w:ilvl="0" w:tplc="8EFA8AA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A6793"/>
    <w:multiLevelType w:val="hybridMultilevel"/>
    <w:tmpl w:val="45BCAB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1515B"/>
    <w:multiLevelType w:val="hybridMultilevel"/>
    <w:tmpl w:val="893E7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4C35"/>
    <w:multiLevelType w:val="hybridMultilevel"/>
    <w:tmpl w:val="CDE08948"/>
    <w:lvl w:ilvl="0" w:tplc="92D09E2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18807CC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15D29"/>
    <w:multiLevelType w:val="hybridMultilevel"/>
    <w:tmpl w:val="69BA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4299C"/>
    <w:multiLevelType w:val="hybridMultilevel"/>
    <w:tmpl w:val="FF505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CE16F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F5C33FD"/>
    <w:multiLevelType w:val="hybridMultilevel"/>
    <w:tmpl w:val="C3449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3606">
    <w:abstractNumId w:val="19"/>
  </w:num>
  <w:num w:numId="2" w16cid:durableId="1103188387">
    <w:abstractNumId w:val="7"/>
  </w:num>
  <w:num w:numId="3" w16cid:durableId="1675300035">
    <w:abstractNumId w:val="0"/>
  </w:num>
  <w:num w:numId="4" w16cid:durableId="669941645">
    <w:abstractNumId w:val="11"/>
  </w:num>
  <w:num w:numId="5" w16cid:durableId="1687946374">
    <w:abstractNumId w:val="21"/>
  </w:num>
  <w:num w:numId="6" w16cid:durableId="957876880">
    <w:abstractNumId w:val="20"/>
  </w:num>
  <w:num w:numId="7" w16cid:durableId="1726638505">
    <w:abstractNumId w:val="15"/>
  </w:num>
  <w:num w:numId="8" w16cid:durableId="661155178">
    <w:abstractNumId w:val="8"/>
  </w:num>
  <w:num w:numId="9" w16cid:durableId="362361683">
    <w:abstractNumId w:val="23"/>
  </w:num>
  <w:num w:numId="10" w16cid:durableId="183595721">
    <w:abstractNumId w:val="26"/>
  </w:num>
  <w:num w:numId="11" w16cid:durableId="85729628">
    <w:abstractNumId w:val="24"/>
  </w:num>
  <w:num w:numId="12" w16cid:durableId="1106928783">
    <w:abstractNumId w:val="14"/>
  </w:num>
  <w:num w:numId="13" w16cid:durableId="220791981">
    <w:abstractNumId w:val="13"/>
  </w:num>
  <w:num w:numId="14" w16cid:durableId="629288274">
    <w:abstractNumId w:val="6"/>
  </w:num>
  <w:num w:numId="15" w16cid:durableId="2092651585">
    <w:abstractNumId w:val="22"/>
  </w:num>
  <w:num w:numId="16" w16cid:durableId="482935788">
    <w:abstractNumId w:val="27"/>
  </w:num>
  <w:num w:numId="17" w16cid:durableId="1174151398">
    <w:abstractNumId w:val="5"/>
  </w:num>
  <w:num w:numId="18" w16cid:durableId="558515797">
    <w:abstractNumId w:val="4"/>
  </w:num>
  <w:num w:numId="19" w16cid:durableId="50663600">
    <w:abstractNumId w:val="2"/>
  </w:num>
  <w:num w:numId="20" w16cid:durableId="1817717743">
    <w:abstractNumId w:val="9"/>
  </w:num>
  <w:num w:numId="21" w16cid:durableId="888565740">
    <w:abstractNumId w:val="10"/>
  </w:num>
  <w:num w:numId="22" w16cid:durableId="69080264">
    <w:abstractNumId w:val="12"/>
  </w:num>
  <w:num w:numId="23" w16cid:durableId="1314795051">
    <w:abstractNumId w:val="16"/>
  </w:num>
  <w:num w:numId="24" w16cid:durableId="1233009850">
    <w:abstractNumId w:val="18"/>
  </w:num>
  <w:num w:numId="25" w16cid:durableId="947153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0882225">
    <w:abstractNumId w:val="3"/>
  </w:num>
  <w:num w:numId="27" w16cid:durableId="488255849">
    <w:abstractNumId w:val="17"/>
  </w:num>
  <w:num w:numId="28" w16cid:durableId="721172906">
    <w:abstractNumId w:val="25"/>
  </w:num>
  <w:num w:numId="29" w16cid:durableId="1493132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32"/>
    <w:rsid w:val="00003DB8"/>
    <w:rsid w:val="00024260"/>
    <w:rsid w:val="00032806"/>
    <w:rsid w:val="000369D7"/>
    <w:rsid w:val="00041AC7"/>
    <w:rsid w:val="000439D4"/>
    <w:rsid w:val="00051696"/>
    <w:rsid w:val="0005458D"/>
    <w:rsid w:val="000A001F"/>
    <w:rsid w:val="000B6180"/>
    <w:rsid w:val="000E12B7"/>
    <w:rsid w:val="00103B70"/>
    <w:rsid w:val="00121284"/>
    <w:rsid w:val="001263D4"/>
    <w:rsid w:val="00135069"/>
    <w:rsid w:val="00183EC3"/>
    <w:rsid w:val="001D1D2A"/>
    <w:rsid w:val="001E6A79"/>
    <w:rsid w:val="001F10B1"/>
    <w:rsid w:val="00210498"/>
    <w:rsid w:val="00220260"/>
    <w:rsid w:val="00257E7F"/>
    <w:rsid w:val="002A2D84"/>
    <w:rsid w:val="002C1F69"/>
    <w:rsid w:val="002D6249"/>
    <w:rsid w:val="002E1877"/>
    <w:rsid w:val="002E2BBE"/>
    <w:rsid w:val="002F0DE8"/>
    <w:rsid w:val="00314F23"/>
    <w:rsid w:val="0034399D"/>
    <w:rsid w:val="0035569F"/>
    <w:rsid w:val="00364FF9"/>
    <w:rsid w:val="0036743E"/>
    <w:rsid w:val="0037627B"/>
    <w:rsid w:val="003806A3"/>
    <w:rsid w:val="003833B4"/>
    <w:rsid w:val="0038648E"/>
    <w:rsid w:val="00387851"/>
    <w:rsid w:val="003C0499"/>
    <w:rsid w:val="003C3E2B"/>
    <w:rsid w:val="003D0F84"/>
    <w:rsid w:val="003F14C6"/>
    <w:rsid w:val="004267B3"/>
    <w:rsid w:val="00433F31"/>
    <w:rsid w:val="00456260"/>
    <w:rsid w:val="00463349"/>
    <w:rsid w:val="004676C9"/>
    <w:rsid w:val="00493B4F"/>
    <w:rsid w:val="004965BD"/>
    <w:rsid w:val="004A253F"/>
    <w:rsid w:val="004A39FB"/>
    <w:rsid w:val="004B2CEA"/>
    <w:rsid w:val="004F0334"/>
    <w:rsid w:val="005323FC"/>
    <w:rsid w:val="00546A16"/>
    <w:rsid w:val="005533F5"/>
    <w:rsid w:val="005568B5"/>
    <w:rsid w:val="005778DA"/>
    <w:rsid w:val="00586B70"/>
    <w:rsid w:val="005A3605"/>
    <w:rsid w:val="005D0B70"/>
    <w:rsid w:val="00622D4E"/>
    <w:rsid w:val="00647E86"/>
    <w:rsid w:val="00664B17"/>
    <w:rsid w:val="00674118"/>
    <w:rsid w:val="00674205"/>
    <w:rsid w:val="0068393A"/>
    <w:rsid w:val="006B363A"/>
    <w:rsid w:val="006F0BC6"/>
    <w:rsid w:val="00736BB8"/>
    <w:rsid w:val="007530BE"/>
    <w:rsid w:val="00780E64"/>
    <w:rsid w:val="00787E83"/>
    <w:rsid w:val="007A26F8"/>
    <w:rsid w:val="007F2C4A"/>
    <w:rsid w:val="007F2F71"/>
    <w:rsid w:val="008025F4"/>
    <w:rsid w:val="0083501F"/>
    <w:rsid w:val="00846804"/>
    <w:rsid w:val="00851F00"/>
    <w:rsid w:val="008B4070"/>
    <w:rsid w:val="008B5DC1"/>
    <w:rsid w:val="00906732"/>
    <w:rsid w:val="00914133"/>
    <w:rsid w:val="009168AB"/>
    <w:rsid w:val="00917391"/>
    <w:rsid w:val="00941318"/>
    <w:rsid w:val="009750B1"/>
    <w:rsid w:val="0099501B"/>
    <w:rsid w:val="009A587E"/>
    <w:rsid w:val="009B29B0"/>
    <w:rsid w:val="009B37E4"/>
    <w:rsid w:val="009C390B"/>
    <w:rsid w:val="009C7A1C"/>
    <w:rsid w:val="009F16B9"/>
    <w:rsid w:val="00A00322"/>
    <w:rsid w:val="00A02C98"/>
    <w:rsid w:val="00A46005"/>
    <w:rsid w:val="00A558A4"/>
    <w:rsid w:val="00A72CD5"/>
    <w:rsid w:val="00A775F7"/>
    <w:rsid w:val="00A86C81"/>
    <w:rsid w:val="00A9015F"/>
    <w:rsid w:val="00AB11FE"/>
    <w:rsid w:val="00AB246E"/>
    <w:rsid w:val="00AC3052"/>
    <w:rsid w:val="00AC701F"/>
    <w:rsid w:val="00AF6076"/>
    <w:rsid w:val="00B4435B"/>
    <w:rsid w:val="00B53DC5"/>
    <w:rsid w:val="00B56262"/>
    <w:rsid w:val="00B6754C"/>
    <w:rsid w:val="00B755D8"/>
    <w:rsid w:val="00B80930"/>
    <w:rsid w:val="00B901AC"/>
    <w:rsid w:val="00BB6820"/>
    <w:rsid w:val="00BD666D"/>
    <w:rsid w:val="00BE3EE9"/>
    <w:rsid w:val="00BF065F"/>
    <w:rsid w:val="00C05E5F"/>
    <w:rsid w:val="00C1183F"/>
    <w:rsid w:val="00C15239"/>
    <w:rsid w:val="00C447E8"/>
    <w:rsid w:val="00C665C7"/>
    <w:rsid w:val="00C7540F"/>
    <w:rsid w:val="00C82349"/>
    <w:rsid w:val="00C8471E"/>
    <w:rsid w:val="00C87455"/>
    <w:rsid w:val="00CE3B90"/>
    <w:rsid w:val="00CF582D"/>
    <w:rsid w:val="00D145CD"/>
    <w:rsid w:val="00D23F17"/>
    <w:rsid w:val="00D438CF"/>
    <w:rsid w:val="00D600D0"/>
    <w:rsid w:val="00D70615"/>
    <w:rsid w:val="00D9590C"/>
    <w:rsid w:val="00DA33E3"/>
    <w:rsid w:val="00DB3CD2"/>
    <w:rsid w:val="00DC3B4B"/>
    <w:rsid w:val="00DC77C0"/>
    <w:rsid w:val="00E1071D"/>
    <w:rsid w:val="00E27B20"/>
    <w:rsid w:val="00E326C4"/>
    <w:rsid w:val="00E81429"/>
    <w:rsid w:val="00E91A32"/>
    <w:rsid w:val="00E965B7"/>
    <w:rsid w:val="00F4209B"/>
    <w:rsid w:val="00F43DC2"/>
    <w:rsid w:val="00F563D6"/>
    <w:rsid w:val="00F60838"/>
    <w:rsid w:val="00F86287"/>
    <w:rsid w:val="00F92273"/>
    <w:rsid w:val="00FA5476"/>
    <w:rsid w:val="00FB1B3C"/>
    <w:rsid w:val="00FB4296"/>
    <w:rsid w:val="00FD2EA4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5C79"/>
  <w15:chartTrackingRefBased/>
  <w15:docId w15:val="{E5A86AC7-585E-447F-97EF-3C1B9761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284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284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284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284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284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284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284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284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284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A3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91A3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91A3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1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1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1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2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2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28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28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2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2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A36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1D"/>
  </w:style>
  <w:style w:type="paragraph" w:styleId="Footer">
    <w:name w:val="footer"/>
    <w:basedOn w:val="Normal"/>
    <w:link w:val="FooterChar"/>
    <w:uiPriority w:val="99"/>
    <w:unhideWhenUsed/>
    <w:rsid w:val="00E10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idaho.zoom.us/j/860283055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idaho.edu/research/faculty/dga" TargetMode="External"/><Relationship Id="rId1" Type="http://schemas.openxmlformats.org/officeDocument/2006/relationships/hyperlink" Target="https://www.uidaho.edu/research/faculty/d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Clark, Heather (heatherclark@uidaho.edu)</cp:lastModifiedBy>
  <cp:revision>2</cp:revision>
  <cp:lastPrinted>2020-01-02T17:55:00Z</cp:lastPrinted>
  <dcterms:created xsi:type="dcterms:W3CDTF">2022-04-28T23:27:00Z</dcterms:created>
  <dcterms:modified xsi:type="dcterms:W3CDTF">2022-04-28T23:27:00Z</dcterms:modified>
</cp:coreProperties>
</file>