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C56B7" w14:textId="77777777" w:rsidR="003D699C" w:rsidRDefault="003D699C" w:rsidP="00150CA0">
      <w:pPr>
        <w:rPr>
          <w:sz w:val="24"/>
          <w:szCs w:val="24"/>
        </w:rPr>
      </w:pPr>
    </w:p>
    <w:p w14:paraId="35479F4B" w14:textId="65DAF2A3" w:rsidR="00F24916" w:rsidRDefault="009948A5" w:rsidP="00CB665A">
      <w:pPr>
        <w:pStyle w:val="Title"/>
        <w:jc w:val="center"/>
      </w:pPr>
      <w:r>
        <w:t xml:space="preserve">Genetically Modified </w:t>
      </w:r>
      <w:r w:rsidR="009F7A4E">
        <w:t>Animals</w:t>
      </w:r>
      <w:r w:rsidR="009F7A4E">
        <w:br/>
        <w:t xml:space="preserve">Transgenic </w:t>
      </w:r>
      <w:r>
        <w:t>Animals</w:t>
      </w:r>
      <w:bookmarkStart w:id="0" w:name="_GoBack"/>
      <w:bookmarkEnd w:id="0"/>
    </w:p>
    <w:p w14:paraId="102EEEB6" w14:textId="77777777" w:rsidR="00160210" w:rsidRDefault="00160210" w:rsidP="00CE2072">
      <w:pPr>
        <w:pStyle w:val="NoSpacing"/>
      </w:pPr>
    </w:p>
    <w:p w14:paraId="4C66AB72" w14:textId="0C90829C" w:rsidR="00CE2072" w:rsidRPr="00086E66" w:rsidRDefault="00CE2072" w:rsidP="00CE2072">
      <w:pPr>
        <w:pStyle w:val="NoSpacing"/>
        <w:rPr>
          <w:b/>
          <w:i/>
          <w:sz w:val="24"/>
          <w:szCs w:val="24"/>
        </w:rPr>
      </w:pPr>
      <w:r w:rsidRPr="00086E66">
        <w:rPr>
          <w:b/>
          <w:i/>
          <w:sz w:val="24"/>
          <w:szCs w:val="24"/>
        </w:rPr>
        <w:t>Purpose</w:t>
      </w:r>
    </w:p>
    <w:p w14:paraId="4B3D1DA5" w14:textId="022AA1D2" w:rsidR="004765E5" w:rsidRDefault="007D1143" w:rsidP="00CE2072">
      <w:pPr>
        <w:pStyle w:val="NoSpacing"/>
        <w:rPr>
          <w:i/>
        </w:rPr>
      </w:pPr>
      <w:r w:rsidRPr="007D1143">
        <w:rPr>
          <w:i/>
        </w:rPr>
        <w:t xml:space="preserve">The purpose of this </w:t>
      </w:r>
      <w:r w:rsidR="000464DF">
        <w:rPr>
          <w:i/>
        </w:rPr>
        <w:t>guidance document</w:t>
      </w:r>
      <w:r>
        <w:rPr>
          <w:i/>
        </w:rPr>
        <w:t xml:space="preserve"> </w:t>
      </w:r>
      <w:r w:rsidR="009F7A4E">
        <w:rPr>
          <w:i/>
        </w:rPr>
        <w:t xml:space="preserve">is to assist investigators, </w:t>
      </w:r>
      <w:r w:rsidRPr="007D1143">
        <w:rPr>
          <w:i/>
        </w:rPr>
        <w:t>the IACUC</w:t>
      </w:r>
      <w:r w:rsidR="009F7A4E">
        <w:rPr>
          <w:i/>
        </w:rPr>
        <w:t>, and the IBC</w:t>
      </w:r>
      <w:r w:rsidRPr="007D1143">
        <w:rPr>
          <w:i/>
        </w:rPr>
        <w:t xml:space="preserve"> in </w:t>
      </w:r>
      <w:r w:rsidR="00C22BA4">
        <w:rPr>
          <w:i/>
        </w:rPr>
        <w:t xml:space="preserve">evaluating the </w:t>
      </w:r>
      <w:r w:rsidR="009948A5">
        <w:rPr>
          <w:i/>
        </w:rPr>
        <w:t>biological risks when creating and/or breeding genetically modified animals (GMAs)</w:t>
      </w:r>
      <w:r w:rsidRPr="007D1143">
        <w:rPr>
          <w:i/>
        </w:rPr>
        <w:t xml:space="preserve">. </w:t>
      </w:r>
    </w:p>
    <w:p w14:paraId="6053B856" w14:textId="77777777" w:rsidR="00AB56E4" w:rsidRPr="00086E66" w:rsidRDefault="00AB56E4" w:rsidP="00CE2072">
      <w:pPr>
        <w:pStyle w:val="NoSpacing"/>
        <w:rPr>
          <w:i/>
        </w:rPr>
      </w:pPr>
    </w:p>
    <w:sdt>
      <w:sdtPr>
        <w:rPr>
          <w:rFonts w:eastAsiaTheme="minorHAnsi" w:cstheme="minorBidi"/>
          <w:b w:val="0"/>
          <w:sz w:val="22"/>
          <w:szCs w:val="22"/>
        </w:rPr>
        <w:id w:val="-112212704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54DC5BDE" w14:textId="77777777" w:rsidR="009B562A" w:rsidRDefault="009B562A">
          <w:pPr>
            <w:pStyle w:val="TOCHeading"/>
          </w:pPr>
          <w:r>
            <w:t>Contents</w:t>
          </w:r>
        </w:p>
        <w:p w14:paraId="1BB47C4E" w14:textId="0C404A9D" w:rsidR="00D72A60" w:rsidRDefault="009B562A">
          <w:pPr>
            <w:pStyle w:val="TOC1"/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3365495" w:history="1">
            <w:r w:rsidR="00D72A60" w:rsidRPr="00273F4F">
              <w:rPr>
                <w:rStyle w:val="Hyperlink"/>
                <w:noProof/>
              </w:rPr>
              <w:t>I.</w:t>
            </w:r>
            <w:r w:rsidR="00D72A60">
              <w:rPr>
                <w:rFonts w:eastAsiaTheme="minorEastAsia"/>
                <w:noProof/>
              </w:rPr>
              <w:tab/>
            </w:r>
            <w:r w:rsidR="00D72A60" w:rsidRPr="00273F4F">
              <w:rPr>
                <w:rStyle w:val="Hyperlink"/>
                <w:noProof/>
              </w:rPr>
              <w:t>Definitions</w:t>
            </w:r>
            <w:r w:rsidR="00D72A60">
              <w:rPr>
                <w:noProof/>
                <w:webHidden/>
              </w:rPr>
              <w:tab/>
            </w:r>
            <w:r w:rsidR="00D72A60">
              <w:rPr>
                <w:noProof/>
                <w:webHidden/>
              </w:rPr>
              <w:fldChar w:fldCharType="begin"/>
            </w:r>
            <w:r w:rsidR="00D72A60">
              <w:rPr>
                <w:noProof/>
                <w:webHidden/>
              </w:rPr>
              <w:instrText xml:space="preserve"> PAGEREF _Toc503365495 \h </w:instrText>
            </w:r>
            <w:r w:rsidR="00D72A60">
              <w:rPr>
                <w:noProof/>
                <w:webHidden/>
              </w:rPr>
            </w:r>
            <w:r w:rsidR="00D72A60">
              <w:rPr>
                <w:noProof/>
                <w:webHidden/>
              </w:rPr>
              <w:fldChar w:fldCharType="separate"/>
            </w:r>
            <w:r w:rsidR="00D72A60">
              <w:rPr>
                <w:noProof/>
                <w:webHidden/>
              </w:rPr>
              <w:t>1</w:t>
            </w:r>
            <w:r w:rsidR="00D72A60">
              <w:rPr>
                <w:noProof/>
                <w:webHidden/>
              </w:rPr>
              <w:fldChar w:fldCharType="end"/>
            </w:r>
          </w:hyperlink>
        </w:p>
        <w:p w14:paraId="76116D56" w14:textId="6507D83D" w:rsidR="00D72A60" w:rsidRDefault="00B32308">
          <w:pPr>
            <w:pStyle w:val="TOC1"/>
            <w:rPr>
              <w:rFonts w:eastAsiaTheme="minorEastAsia"/>
              <w:noProof/>
            </w:rPr>
          </w:pPr>
          <w:hyperlink w:anchor="_Toc503365500" w:history="1">
            <w:r w:rsidR="00D72A60" w:rsidRPr="00273F4F">
              <w:rPr>
                <w:rStyle w:val="Hyperlink"/>
                <w:noProof/>
              </w:rPr>
              <w:t>II.</w:t>
            </w:r>
            <w:r w:rsidR="00D72A60">
              <w:rPr>
                <w:rFonts w:eastAsiaTheme="minorEastAsia"/>
                <w:noProof/>
              </w:rPr>
              <w:tab/>
            </w:r>
            <w:r w:rsidR="00D72A60" w:rsidRPr="00273F4F">
              <w:rPr>
                <w:rStyle w:val="Hyperlink"/>
                <w:noProof/>
              </w:rPr>
              <w:t>Regulatory Requirements</w:t>
            </w:r>
            <w:r w:rsidR="00D72A60">
              <w:rPr>
                <w:noProof/>
                <w:webHidden/>
              </w:rPr>
              <w:tab/>
            </w:r>
            <w:r w:rsidR="00D72A60">
              <w:rPr>
                <w:noProof/>
                <w:webHidden/>
              </w:rPr>
              <w:fldChar w:fldCharType="begin"/>
            </w:r>
            <w:r w:rsidR="00D72A60">
              <w:rPr>
                <w:noProof/>
                <w:webHidden/>
              </w:rPr>
              <w:instrText xml:space="preserve"> PAGEREF _Toc503365500 \h </w:instrText>
            </w:r>
            <w:r w:rsidR="00D72A60">
              <w:rPr>
                <w:noProof/>
                <w:webHidden/>
              </w:rPr>
            </w:r>
            <w:r w:rsidR="00D72A60">
              <w:rPr>
                <w:noProof/>
                <w:webHidden/>
              </w:rPr>
              <w:fldChar w:fldCharType="separate"/>
            </w:r>
            <w:r w:rsidR="00D72A60">
              <w:rPr>
                <w:noProof/>
                <w:webHidden/>
              </w:rPr>
              <w:t>1</w:t>
            </w:r>
            <w:r w:rsidR="00D72A60">
              <w:rPr>
                <w:noProof/>
                <w:webHidden/>
              </w:rPr>
              <w:fldChar w:fldCharType="end"/>
            </w:r>
          </w:hyperlink>
        </w:p>
        <w:p w14:paraId="159C7481" w14:textId="71D1500B" w:rsidR="00D72A60" w:rsidRDefault="00B32308">
          <w:pPr>
            <w:pStyle w:val="TOC1"/>
            <w:rPr>
              <w:rFonts w:eastAsiaTheme="minorEastAsia"/>
              <w:noProof/>
            </w:rPr>
          </w:pPr>
          <w:hyperlink w:anchor="_Toc503365501" w:history="1">
            <w:r w:rsidR="00D72A60" w:rsidRPr="00273F4F">
              <w:rPr>
                <w:rStyle w:val="Hyperlink"/>
                <w:noProof/>
              </w:rPr>
              <w:t>III.</w:t>
            </w:r>
            <w:r w:rsidR="00D72A60">
              <w:rPr>
                <w:rFonts w:eastAsiaTheme="minorEastAsia"/>
                <w:noProof/>
              </w:rPr>
              <w:tab/>
            </w:r>
            <w:r w:rsidR="00D72A60" w:rsidRPr="00273F4F">
              <w:rPr>
                <w:rStyle w:val="Hyperlink"/>
                <w:noProof/>
              </w:rPr>
              <w:t>The role of the IACUC and IBC</w:t>
            </w:r>
            <w:r w:rsidR="00D72A60">
              <w:rPr>
                <w:noProof/>
                <w:webHidden/>
              </w:rPr>
              <w:tab/>
            </w:r>
            <w:r w:rsidR="00D72A60">
              <w:rPr>
                <w:noProof/>
                <w:webHidden/>
              </w:rPr>
              <w:fldChar w:fldCharType="begin"/>
            </w:r>
            <w:r w:rsidR="00D72A60">
              <w:rPr>
                <w:noProof/>
                <w:webHidden/>
              </w:rPr>
              <w:instrText xml:space="preserve"> PAGEREF _Toc503365501 \h </w:instrText>
            </w:r>
            <w:r w:rsidR="00D72A60">
              <w:rPr>
                <w:noProof/>
                <w:webHidden/>
              </w:rPr>
            </w:r>
            <w:r w:rsidR="00D72A60">
              <w:rPr>
                <w:noProof/>
                <w:webHidden/>
              </w:rPr>
              <w:fldChar w:fldCharType="separate"/>
            </w:r>
            <w:r w:rsidR="00D72A60">
              <w:rPr>
                <w:noProof/>
                <w:webHidden/>
              </w:rPr>
              <w:t>1</w:t>
            </w:r>
            <w:r w:rsidR="00D72A60">
              <w:rPr>
                <w:noProof/>
                <w:webHidden/>
              </w:rPr>
              <w:fldChar w:fldCharType="end"/>
            </w:r>
          </w:hyperlink>
        </w:p>
        <w:p w14:paraId="2E2E40DF" w14:textId="6CCAE9B7" w:rsidR="00D72A60" w:rsidRDefault="00B32308">
          <w:pPr>
            <w:pStyle w:val="TOC2"/>
            <w:rPr>
              <w:rFonts w:eastAsiaTheme="minorEastAsia"/>
              <w:noProof/>
            </w:rPr>
          </w:pPr>
          <w:hyperlink w:anchor="_Toc503365502" w:history="1">
            <w:r w:rsidR="00D72A60" w:rsidRPr="00273F4F">
              <w:rPr>
                <w:rStyle w:val="Hyperlink"/>
                <w:noProof/>
              </w:rPr>
              <w:t>A.</w:t>
            </w:r>
            <w:r w:rsidR="00D72A60">
              <w:rPr>
                <w:rFonts w:eastAsiaTheme="minorEastAsia"/>
                <w:noProof/>
              </w:rPr>
              <w:tab/>
            </w:r>
            <w:r w:rsidR="00D72A60" w:rsidRPr="00273F4F">
              <w:rPr>
                <w:rStyle w:val="Hyperlink"/>
                <w:noProof/>
              </w:rPr>
              <w:t>Section III-E-3 - Experiments Involving BL1 Containment Transgenic Rodents</w:t>
            </w:r>
            <w:r w:rsidR="00D72A60">
              <w:rPr>
                <w:noProof/>
                <w:webHidden/>
              </w:rPr>
              <w:tab/>
            </w:r>
            <w:r w:rsidR="00D72A60">
              <w:rPr>
                <w:noProof/>
                <w:webHidden/>
              </w:rPr>
              <w:fldChar w:fldCharType="begin"/>
            </w:r>
            <w:r w:rsidR="00D72A60">
              <w:rPr>
                <w:noProof/>
                <w:webHidden/>
              </w:rPr>
              <w:instrText xml:space="preserve"> PAGEREF _Toc503365502 \h </w:instrText>
            </w:r>
            <w:r w:rsidR="00D72A60">
              <w:rPr>
                <w:noProof/>
                <w:webHidden/>
              </w:rPr>
            </w:r>
            <w:r w:rsidR="00D72A60">
              <w:rPr>
                <w:noProof/>
                <w:webHidden/>
              </w:rPr>
              <w:fldChar w:fldCharType="separate"/>
            </w:r>
            <w:r w:rsidR="00D72A60">
              <w:rPr>
                <w:noProof/>
                <w:webHidden/>
              </w:rPr>
              <w:t>2</w:t>
            </w:r>
            <w:r w:rsidR="00D72A60">
              <w:rPr>
                <w:noProof/>
                <w:webHidden/>
              </w:rPr>
              <w:fldChar w:fldCharType="end"/>
            </w:r>
          </w:hyperlink>
        </w:p>
        <w:p w14:paraId="3F7B73D8" w14:textId="4A05F869" w:rsidR="00D72A60" w:rsidRDefault="00B32308">
          <w:pPr>
            <w:pStyle w:val="TOC2"/>
            <w:rPr>
              <w:rFonts w:eastAsiaTheme="minorEastAsia"/>
              <w:noProof/>
            </w:rPr>
          </w:pPr>
          <w:hyperlink w:anchor="_Toc503365503" w:history="1">
            <w:r w:rsidR="00D72A60" w:rsidRPr="00273F4F">
              <w:rPr>
                <w:rStyle w:val="Hyperlink"/>
                <w:noProof/>
              </w:rPr>
              <w:t>B.</w:t>
            </w:r>
            <w:r w:rsidR="00D72A60">
              <w:rPr>
                <w:rFonts w:eastAsiaTheme="minorEastAsia"/>
                <w:noProof/>
              </w:rPr>
              <w:tab/>
            </w:r>
            <w:r w:rsidR="00D72A60" w:rsidRPr="00273F4F">
              <w:rPr>
                <w:rStyle w:val="Hyperlink"/>
                <w:noProof/>
              </w:rPr>
              <w:t>Section III-D-4 - Experiments Involving BL2, BL3, or BL4 containment Whole Transgenic Animals</w:t>
            </w:r>
            <w:r w:rsidR="00D72A60">
              <w:rPr>
                <w:noProof/>
                <w:webHidden/>
              </w:rPr>
              <w:tab/>
            </w:r>
            <w:r w:rsidR="00D72A60">
              <w:rPr>
                <w:noProof/>
                <w:webHidden/>
              </w:rPr>
              <w:fldChar w:fldCharType="begin"/>
            </w:r>
            <w:r w:rsidR="00D72A60">
              <w:rPr>
                <w:noProof/>
                <w:webHidden/>
              </w:rPr>
              <w:instrText xml:space="preserve"> PAGEREF _Toc503365503 \h </w:instrText>
            </w:r>
            <w:r w:rsidR="00D72A60">
              <w:rPr>
                <w:noProof/>
                <w:webHidden/>
              </w:rPr>
            </w:r>
            <w:r w:rsidR="00D72A60">
              <w:rPr>
                <w:noProof/>
                <w:webHidden/>
              </w:rPr>
              <w:fldChar w:fldCharType="separate"/>
            </w:r>
            <w:r w:rsidR="00D72A60">
              <w:rPr>
                <w:noProof/>
                <w:webHidden/>
              </w:rPr>
              <w:t>2</w:t>
            </w:r>
            <w:r w:rsidR="00D72A60">
              <w:rPr>
                <w:noProof/>
                <w:webHidden/>
              </w:rPr>
              <w:fldChar w:fldCharType="end"/>
            </w:r>
          </w:hyperlink>
        </w:p>
        <w:p w14:paraId="7E17EE38" w14:textId="64416BAD" w:rsidR="00D72A60" w:rsidRDefault="00B32308">
          <w:pPr>
            <w:pStyle w:val="TOC1"/>
            <w:rPr>
              <w:rFonts w:eastAsiaTheme="minorEastAsia"/>
              <w:noProof/>
            </w:rPr>
          </w:pPr>
          <w:hyperlink w:anchor="_Toc503365512" w:history="1">
            <w:r w:rsidR="00D72A60" w:rsidRPr="00273F4F">
              <w:rPr>
                <w:rStyle w:val="Hyperlink"/>
                <w:noProof/>
              </w:rPr>
              <w:t>IV.</w:t>
            </w:r>
            <w:r w:rsidR="00D72A60">
              <w:rPr>
                <w:rFonts w:eastAsiaTheme="minorEastAsia"/>
                <w:noProof/>
              </w:rPr>
              <w:tab/>
            </w:r>
            <w:r w:rsidR="00D72A60" w:rsidRPr="00273F4F">
              <w:rPr>
                <w:rStyle w:val="Hyperlink"/>
                <w:noProof/>
              </w:rPr>
              <w:t>Instructions for Compliance</w:t>
            </w:r>
            <w:r w:rsidR="00D72A60">
              <w:rPr>
                <w:noProof/>
                <w:webHidden/>
              </w:rPr>
              <w:tab/>
            </w:r>
            <w:r w:rsidR="00D72A60">
              <w:rPr>
                <w:noProof/>
                <w:webHidden/>
              </w:rPr>
              <w:fldChar w:fldCharType="begin"/>
            </w:r>
            <w:r w:rsidR="00D72A60">
              <w:rPr>
                <w:noProof/>
                <w:webHidden/>
              </w:rPr>
              <w:instrText xml:space="preserve"> PAGEREF _Toc503365512 \h </w:instrText>
            </w:r>
            <w:r w:rsidR="00D72A60">
              <w:rPr>
                <w:noProof/>
                <w:webHidden/>
              </w:rPr>
            </w:r>
            <w:r w:rsidR="00D72A60">
              <w:rPr>
                <w:noProof/>
                <w:webHidden/>
              </w:rPr>
              <w:fldChar w:fldCharType="separate"/>
            </w:r>
            <w:r w:rsidR="00D72A60">
              <w:rPr>
                <w:noProof/>
                <w:webHidden/>
              </w:rPr>
              <w:t>2</w:t>
            </w:r>
            <w:r w:rsidR="00D72A60">
              <w:rPr>
                <w:noProof/>
                <w:webHidden/>
              </w:rPr>
              <w:fldChar w:fldCharType="end"/>
            </w:r>
          </w:hyperlink>
        </w:p>
        <w:p w14:paraId="771AE8DB" w14:textId="5758DDC5" w:rsidR="00D72A60" w:rsidRDefault="00B32308">
          <w:pPr>
            <w:pStyle w:val="TOC1"/>
            <w:rPr>
              <w:rFonts w:eastAsiaTheme="minorEastAsia"/>
              <w:noProof/>
            </w:rPr>
          </w:pPr>
          <w:hyperlink w:anchor="_Toc503365513" w:history="1">
            <w:r w:rsidR="00D72A60" w:rsidRPr="00273F4F">
              <w:rPr>
                <w:rStyle w:val="Hyperlink"/>
                <w:noProof/>
              </w:rPr>
              <w:t>V.</w:t>
            </w:r>
            <w:r w:rsidR="00D72A60">
              <w:rPr>
                <w:rFonts w:eastAsiaTheme="minorEastAsia"/>
                <w:noProof/>
              </w:rPr>
              <w:tab/>
            </w:r>
            <w:r w:rsidR="00D72A60" w:rsidRPr="00273F4F">
              <w:rPr>
                <w:rStyle w:val="Hyperlink"/>
                <w:noProof/>
              </w:rPr>
              <w:t>References</w:t>
            </w:r>
            <w:r w:rsidR="00D72A60">
              <w:rPr>
                <w:noProof/>
                <w:webHidden/>
              </w:rPr>
              <w:tab/>
            </w:r>
            <w:r w:rsidR="00D72A60">
              <w:rPr>
                <w:noProof/>
                <w:webHidden/>
              </w:rPr>
              <w:fldChar w:fldCharType="begin"/>
            </w:r>
            <w:r w:rsidR="00D72A60">
              <w:rPr>
                <w:noProof/>
                <w:webHidden/>
              </w:rPr>
              <w:instrText xml:space="preserve"> PAGEREF _Toc503365513 \h </w:instrText>
            </w:r>
            <w:r w:rsidR="00D72A60">
              <w:rPr>
                <w:noProof/>
                <w:webHidden/>
              </w:rPr>
            </w:r>
            <w:r w:rsidR="00D72A60">
              <w:rPr>
                <w:noProof/>
                <w:webHidden/>
              </w:rPr>
              <w:fldChar w:fldCharType="separate"/>
            </w:r>
            <w:r w:rsidR="00D72A60">
              <w:rPr>
                <w:noProof/>
                <w:webHidden/>
              </w:rPr>
              <w:t>2</w:t>
            </w:r>
            <w:r w:rsidR="00D72A60">
              <w:rPr>
                <w:noProof/>
                <w:webHidden/>
              </w:rPr>
              <w:fldChar w:fldCharType="end"/>
            </w:r>
          </w:hyperlink>
        </w:p>
        <w:p w14:paraId="1A57E9FF" w14:textId="77777777" w:rsidR="009B562A" w:rsidRDefault="009B562A">
          <w:r>
            <w:rPr>
              <w:b/>
              <w:bCs/>
              <w:noProof/>
            </w:rPr>
            <w:fldChar w:fldCharType="end"/>
          </w:r>
        </w:p>
      </w:sdtContent>
    </w:sdt>
    <w:p w14:paraId="6B5A4135" w14:textId="072B1286" w:rsidR="00763B43" w:rsidRDefault="00763B43" w:rsidP="00F54525">
      <w:pPr>
        <w:pStyle w:val="Heading1"/>
      </w:pPr>
      <w:bookmarkStart w:id="1" w:name="_Toc503365495"/>
      <w:r>
        <w:t>D</w:t>
      </w:r>
      <w:r w:rsidR="00F54525">
        <w:t>efinitions</w:t>
      </w:r>
      <w:bookmarkEnd w:id="1"/>
    </w:p>
    <w:p w14:paraId="4A33DA7A" w14:textId="77777777" w:rsidR="00CD5905" w:rsidRDefault="00CD5905" w:rsidP="00CD5905">
      <w:pPr>
        <w:pStyle w:val="NoSpacing"/>
        <w:ind w:left="360"/>
      </w:pPr>
      <w:r>
        <w:rPr>
          <w:b/>
        </w:rPr>
        <w:t xml:space="preserve">Genetically Modified Animals (GMA) or </w:t>
      </w:r>
      <w:r w:rsidRPr="009F7A4E">
        <w:rPr>
          <w:b/>
        </w:rPr>
        <w:t>Transgenic Animals</w:t>
      </w:r>
      <w:r>
        <w:t xml:space="preserve"> are any whole vertebrate animal in which the animal's genome has been altered by stable introduction of recombinant DNA into the germ-line of the animal.</w:t>
      </w:r>
    </w:p>
    <w:p w14:paraId="115DACEE" w14:textId="37E1DDA3" w:rsidR="001C7CD7" w:rsidRDefault="001C7CD7" w:rsidP="001C7CD7">
      <w:pPr>
        <w:pStyle w:val="Heading1"/>
      </w:pPr>
      <w:bookmarkStart w:id="2" w:name="_Toc503357734"/>
      <w:bookmarkStart w:id="3" w:name="_Toc503365496"/>
      <w:bookmarkStart w:id="4" w:name="_Toc503337050"/>
      <w:bookmarkStart w:id="5" w:name="_Toc503337960"/>
      <w:bookmarkStart w:id="6" w:name="_Toc503342238"/>
      <w:bookmarkStart w:id="7" w:name="_Toc503357735"/>
      <w:bookmarkStart w:id="8" w:name="_Toc503365497"/>
      <w:bookmarkStart w:id="9" w:name="_Toc503357736"/>
      <w:bookmarkStart w:id="10" w:name="_Toc503365498"/>
      <w:bookmarkStart w:id="11" w:name="_Toc503357737"/>
      <w:bookmarkStart w:id="12" w:name="_Toc503365499"/>
      <w:bookmarkStart w:id="13" w:name="_Toc50336550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t>Regulatory Requirements</w:t>
      </w:r>
      <w:bookmarkEnd w:id="13"/>
    </w:p>
    <w:p w14:paraId="2798E5F5" w14:textId="1E73EF9A" w:rsidR="004806AE" w:rsidRDefault="004806AE" w:rsidP="004806AE">
      <w:pPr>
        <w:pStyle w:val="NoSpacing"/>
      </w:pPr>
      <w:r>
        <w:t xml:space="preserve">All activities that are conducted with the goal of producing transgenic animals by use of recombinant </w:t>
      </w:r>
      <w:r w:rsidR="00CD5905">
        <w:t xml:space="preserve">or synthetic </w:t>
      </w:r>
      <w:r>
        <w:t>DNA technologies</w:t>
      </w:r>
      <w:r w:rsidR="00CD5905">
        <w:t>, as</w:t>
      </w:r>
      <w:r>
        <w:t xml:space="preserve"> described in the NIH </w:t>
      </w:r>
      <w:r w:rsidR="00F575F4">
        <w:t>guidelines</w:t>
      </w:r>
      <w:r>
        <w:t xml:space="preserve"> must be reviewed and approved by the </w:t>
      </w:r>
      <w:r w:rsidR="001C7CD7">
        <w:t>I</w:t>
      </w:r>
      <w:r w:rsidR="00F575F4">
        <w:t xml:space="preserve">nstitutional </w:t>
      </w:r>
      <w:r w:rsidR="001C7CD7">
        <w:t>B</w:t>
      </w:r>
      <w:r w:rsidR="00F575F4">
        <w:t>iosafety Committee (IB</w:t>
      </w:r>
      <w:r w:rsidR="001C7CD7">
        <w:t>C</w:t>
      </w:r>
      <w:r w:rsidR="00F575F4">
        <w:t>)</w:t>
      </w:r>
      <w:r w:rsidR="008729EE">
        <w:t>,</w:t>
      </w:r>
      <w:r>
        <w:t xml:space="preserve"> and</w:t>
      </w:r>
      <w:r w:rsidR="008729EE">
        <w:t xml:space="preserve"> in addition</w:t>
      </w:r>
      <w:r w:rsidR="00F575F4">
        <w:t xml:space="preserve"> the Institutional Animal Care and Use Committee</w:t>
      </w:r>
      <w:r>
        <w:t xml:space="preserve"> </w:t>
      </w:r>
      <w:r w:rsidR="00F575F4">
        <w:t>(</w:t>
      </w:r>
      <w:r>
        <w:t>IACUC</w:t>
      </w:r>
      <w:r w:rsidR="00F575F4">
        <w:t>)</w:t>
      </w:r>
      <w:r w:rsidR="008729EE">
        <w:t xml:space="preserve"> if using vertebrate animals</w:t>
      </w:r>
      <w:r>
        <w:t xml:space="preserve">. </w:t>
      </w:r>
      <w:r w:rsidR="00F575F4">
        <w:t>This includes all m</w:t>
      </w:r>
      <w:r>
        <w:t>ethods for producing transgenic animals</w:t>
      </w:r>
      <w:r w:rsidR="00F575F4">
        <w:t xml:space="preserve">, </w:t>
      </w:r>
      <w:r w:rsidR="00CD5905">
        <w:t>including but not limited to</w:t>
      </w:r>
      <w:r>
        <w:t xml:space="preserve"> DNA microinjection, retrovirus-mediated gene transfer</w:t>
      </w:r>
      <w:r w:rsidR="008729EE">
        <w:t>,</w:t>
      </w:r>
      <w:r>
        <w:t xml:space="preserve"> embryonic stem cell mediated gene transfer.</w:t>
      </w:r>
    </w:p>
    <w:p w14:paraId="3F6BCEF2" w14:textId="1908C86F" w:rsidR="001C7CD7" w:rsidRDefault="001C7CD7" w:rsidP="001C7CD7">
      <w:pPr>
        <w:pStyle w:val="Heading1"/>
      </w:pPr>
      <w:bookmarkStart w:id="14" w:name="_Toc503365501"/>
      <w:r>
        <w:t xml:space="preserve">The role of the </w:t>
      </w:r>
      <w:r w:rsidR="00F575F4">
        <w:t>IACUC</w:t>
      </w:r>
      <w:r w:rsidR="005D1068">
        <w:t xml:space="preserve"> and IBC</w:t>
      </w:r>
      <w:bookmarkEnd w:id="14"/>
    </w:p>
    <w:p w14:paraId="26D70ED1" w14:textId="07D8F98E" w:rsidR="004806AE" w:rsidRDefault="004806AE" w:rsidP="004806AE">
      <w:pPr>
        <w:pStyle w:val="NoSpacing"/>
      </w:pPr>
      <w:r>
        <w:t>Physical and Biological Containment Levels: The containment levels required for research involving rDNA associated with or in animals, is based on the experiments</w:t>
      </w:r>
      <w:r w:rsidR="00CD5905">
        <w:t xml:space="preserve"> as described/outlined</w:t>
      </w:r>
      <w:r>
        <w:t xml:space="preserve"> in Section III of the NIH Guidelines. For physical containment of smaller animals there are </w:t>
      </w:r>
      <w:r w:rsidR="000464DF">
        <w:t>four</w:t>
      </w:r>
      <w:r>
        <w:t xml:space="preserve"> containment levels esta</w:t>
      </w:r>
      <w:r w:rsidR="009F7A4E">
        <w:t>bl</w:t>
      </w:r>
      <w:r>
        <w:t>ished in Appendix G of the NIH Guidelines (</w:t>
      </w:r>
      <w:r w:rsidR="001C7CD7">
        <w:t>BL</w:t>
      </w:r>
      <w:r>
        <w:t xml:space="preserve">1, </w:t>
      </w:r>
      <w:r w:rsidR="001C7CD7">
        <w:t>BL</w:t>
      </w:r>
      <w:r>
        <w:t xml:space="preserve">2, </w:t>
      </w:r>
      <w:r w:rsidR="001C7CD7">
        <w:t>BL</w:t>
      </w:r>
      <w:r>
        <w:t xml:space="preserve">3 and </w:t>
      </w:r>
      <w:r w:rsidR="001C7CD7">
        <w:t>BL</w:t>
      </w:r>
      <w:r>
        <w:t>4). For larger animals such as cattle, swine, sheep, goats, horses and poultry there are</w:t>
      </w:r>
      <w:r w:rsidR="001C7CD7">
        <w:t xml:space="preserve"> </w:t>
      </w:r>
      <w:r>
        <w:t xml:space="preserve">also </w:t>
      </w:r>
      <w:r w:rsidR="000464DF">
        <w:t>four</w:t>
      </w:r>
      <w:r>
        <w:t xml:space="preserve"> containment levels outlined in Appendix Q (</w:t>
      </w:r>
      <w:r w:rsidR="001C7CD7">
        <w:t>BL</w:t>
      </w:r>
      <w:r>
        <w:t xml:space="preserve">1–Animals (N), </w:t>
      </w:r>
      <w:r w:rsidR="001C7CD7">
        <w:t>BL</w:t>
      </w:r>
      <w:r>
        <w:t xml:space="preserve">2-N, </w:t>
      </w:r>
      <w:r w:rsidR="001C7CD7">
        <w:t>BL</w:t>
      </w:r>
      <w:r>
        <w:t xml:space="preserve">3-N and </w:t>
      </w:r>
      <w:r w:rsidR="001C7CD7">
        <w:t>BL</w:t>
      </w:r>
      <w:r>
        <w:t>4-N).</w:t>
      </w:r>
    </w:p>
    <w:p w14:paraId="6EE7887A" w14:textId="77777777" w:rsidR="00AD3640" w:rsidRDefault="00AD3640" w:rsidP="004806AE">
      <w:pPr>
        <w:pStyle w:val="NoSpacing"/>
      </w:pPr>
    </w:p>
    <w:p w14:paraId="440E873B" w14:textId="2E68B611" w:rsidR="004806AE" w:rsidRDefault="004806AE" w:rsidP="004806AE">
      <w:pPr>
        <w:pStyle w:val="NoSpacing"/>
      </w:pPr>
      <w:r>
        <w:t>The physical and biological containment levels for experiments involving</w:t>
      </w:r>
      <w:r w:rsidR="00AD3640">
        <w:t xml:space="preserve"> </w:t>
      </w:r>
      <w:r>
        <w:t>Whole Transgenic Vertebrate Animals must conform to NIH Guidelines.</w:t>
      </w:r>
    </w:p>
    <w:p w14:paraId="21B1D69B" w14:textId="78577FD0" w:rsidR="003D6858" w:rsidRDefault="003D6858" w:rsidP="003D6858">
      <w:pPr>
        <w:pStyle w:val="NoSpacing"/>
      </w:pPr>
      <w:r w:rsidRPr="00AD3640">
        <w:rPr>
          <w:b/>
        </w:rPr>
        <w:lastRenderedPageBreak/>
        <w:t>NOTE:</w:t>
      </w:r>
      <w:r>
        <w:t xml:space="preserve"> the purchase or transfer of commercial whole transgenic rodents is exempt from IBC review under the NIH Guidelines [Section III-D-4-c (2) and Appendix C-VI</w:t>
      </w:r>
      <w:r w:rsidR="000464DF">
        <w:t>I</w:t>
      </w:r>
      <w:r>
        <w:t>].</w:t>
      </w:r>
    </w:p>
    <w:p w14:paraId="5B3DAC53" w14:textId="29EA68A5" w:rsidR="00AD3640" w:rsidRDefault="003D6858" w:rsidP="003D6858">
      <w:pPr>
        <w:pStyle w:val="Heading2"/>
        <w:spacing w:before="240"/>
      </w:pPr>
      <w:bookmarkStart w:id="15" w:name="_Toc503365502"/>
      <w:r>
        <w:t xml:space="preserve">Section III-E-3 - </w:t>
      </w:r>
      <w:r w:rsidR="004806AE">
        <w:t xml:space="preserve">Experiments Involving </w:t>
      </w:r>
      <w:r w:rsidR="00AD3640">
        <w:t>BL1 Containment Transgenic Rodents</w:t>
      </w:r>
      <w:bookmarkEnd w:id="15"/>
    </w:p>
    <w:p w14:paraId="3715C9C7" w14:textId="11059415" w:rsidR="00AD3640" w:rsidRDefault="004806AE" w:rsidP="004806AE">
      <w:pPr>
        <w:pStyle w:val="NoSpacing"/>
      </w:pPr>
      <w:r>
        <w:t>This section covers experiments involving the generation of rodents in which the animal's genome has been altered by sta</w:t>
      </w:r>
      <w:r w:rsidR="00AD3640">
        <w:t xml:space="preserve">ble </w:t>
      </w:r>
      <w:r>
        <w:t xml:space="preserve">introduction of recombinant DNA, or DNA derived therefrom, into the germ-line (transgenic rodents). Only experiments that require </w:t>
      </w:r>
      <w:r w:rsidR="001C7CD7">
        <w:t>BL</w:t>
      </w:r>
      <w:r>
        <w:t>1 containment are covered under this section</w:t>
      </w:r>
    </w:p>
    <w:p w14:paraId="649BD8D1" w14:textId="77777777" w:rsidR="00844E2E" w:rsidRDefault="00844E2E" w:rsidP="004806AE">
      <w:pPr>
        <w:pStyle w:val="NoSpacing"/>
      </w:pPr>
    </w:p>
    <w:p w14:paraId="0255894D" w14:textId="12ABE081" w:rsidR="004806AE" w:rsidRDefault="004806AE" w:rsidP="003D6858">
      <w:pPr>
        <w:pStyle w:val="Heading2"/>
      </w:pPr>
      <w:bookmarkStart w:id="16" w:name="_Toc503365503"/>
      <w:r>
        <w:t>Section III-D-4</w:t>
      </w:r>
      <w:r w:rsidR="003D6858">
        <w:t xml:space="preserve"> - </w:t>
      </w:r>
      <w:r>
        <w:t xml:space="preserve">Experiments Involving </w:t>
      </w:r>
      <w:r w:rsidR="00AD3640">
        <w:t xml:space="preserve">BL2, BL3, or BL4 containment </w:t>
      </w:r>
      <w:r>
        <w:t>Whole Transgenic Animals</w:t>
      </w:r>
      <w:bookmarkEnd w:id="16"/>
    </w:p>
    <w:p w14:paraId="40922D12" w14:textId="30144EDC" w:rsidR="004806AE" w:rsidRDefault="004806AE" w:rsidP="004806AE">
      <w:pPr>
        <w:pStyle w:val="NoSpacing"/>
      </w:pPr>
      <w:r>
        <w:t xml:space="preserve">This section covers experiments involving </w:t>
      </w:r>
      <w:r w:rsidRPr="00844E2E">
        <w:rPr>
          <w:b/>
        </w:rPr>
        <w:t xml:space="preserve">whole </w:t>
      </w:r>
      <w:r w:rsidR="00844E2E" w:rsidRPr="00844E2E">
        <w:rPr>
          <w:b/>
        </w:rPr>
        <w:t xml:space="preserve">vertebrate </w:t>
      </w:r>
      <w:r w:rsidRPr="00844E2E">
        <w:rPr>
          <w:b/>
        </w:rPr>
        <w:t>animals</w:t>
      </w:r>
      <w:r w:rsidR="00844E2E">
        <w:t xml:space="preserve"> </w:t>
      </w:r>
      <w:r>
        <w:t>in which the animal's genome has been altered by sta</w:t>
      </w:r>
      <w:r w:rsidR="00AD3640">
        <w:t>bl</w:t>
      </w:r>
      <w:r>
        <w:t xml:space="preserve">e introduction of recombinant DNA, or DNA </w:t>
      </w:r>
      <w:r w:rsidR="00CD5905">
        <w:t xml:space="preserve">inserted </w:t>
      </w:r>
      <w:r>
        <w:t>into</w:t>
      </w:r>
      <w:r w:rsidR="00CD5905">
        <w:t xml:space="preserve"> or derived from</w:t>
      </w:r>
      <w:r>
        <w:t xml:space="preserve"> the germ-line (transgenic animals) and experiments involving via</w:t>
      </w:r>
      <w:r w:rsidR="00844E2E">
        <w:t>bl</w:t>
      </w:r>
      <w:r>
        <w:t>e recombinant DNA-modified microorganisms tested on whole animals.</w:t>
      </w:r>
    </w:p>
    <w:p w14:paraId="7673BA35" w14:textId="77777777" w:rsidR="004806AE" w:rsidRDefault="004806AE" w:rsidP="004806AE">
      <w:pPr>
        <w:pStyle w:val="NoSpacing"/>
      </w:pPr>
    </w:p>
    <w:p w14:paraId="6AF20C1E" w14:textId="25FC5E1A" w:rsidR="00844E2E" w:rsidRDefault="00F575F4" w:rsidP="00844E2E">
      <w:pPr>
        <w:pStyle w:val="NoSpacing"/>
      </w:pPr>
      <w:r>
        <w:rPr>
          <w:b/>
        </w:rPr>
        <w:t>Note</w:t>
      </w:r>
      <w:r w:rsidR="004806AE" w:rsidRPr="00844E2E">
        <w:rPr>
          <w:b/>
        </w:rPr>
        <w:t>:</w:t>
      </w:r>
      <w:r w:rsidR="004806AE">
        <w:t xml:space="preserve"> Designations such as “whole transgenic animals” and “whole animals” include transgenic rodents for this section unless covered in Section III-E-3 “Experiments Involving Transgenic Rodents (</w:t>
      </w:r>
      <w:r w:rsidR="001C7CD7">
        <w:t>BL</w:t>
      </w:r>
      <w:r w:rsidR="00844E2E">
        <w:t xml:space="preserve">1) as </w:t>
      </w:r>
      <w:r w:rsidR="00CD5905">
        <w:t xml:space="preserve">described </w:t>
      </w:r>
      <w:r w:rsidR="00844E2E">
        <w:t>above.</w:t>
      </w:r>
    </w:p>
    <w:p w14:paraId="4B477C01" w14:textId="77777777" w:rsidR="004806AE" w:rsidRDefault="004806AE" w:rsidP="00844E2E">
      <w:pPr>
        <w:pStyle w:val="Heading1"/>
      </w:pPr>
      <w:bookmarkStart w:id="17" w:name="_Toc503337966"/>
      <w:bookmarkStart w:id="18" w:name="_Toc503342244"/>
      <w:bookmarkStart w:id="19" w:name="_Toc503357742"/>
      <w:bookmarkStart w:id="20" w:name="_Toc503365504"/>
      <w:bookmarkStart w:id="21" w:name="_Toc503337967"/>
      <w:bookmarkStart w:id="22" w:name="_Toc503342245"/>
      <w:bookmarkStart w:id="23" w:name="_Toc503357743"/>
      <w:bookmarkStart w:id="24" w:name="_Toc503365505"/>
      <w:bookmarkStart w:id="25" w:name="_Toc503337968"/>
      <w:bookmarkStart w:id="26" w:name="_Toc503342246"/>
      <w:bookmarkStart w:id="27" w:name="_Toc503357744"/>
      <w:bookmarkStart w:id="28" w:name="_Toc503365506"/>
      <w:bookmarkStart w:id="29" w:name="_Toc503337969"/>
      <w:bookmarkStart w:id="30" w:name="_Toc503342247"/>
      <w:bookmarkStart w:id="31" w:name="_Toc503357745"/>
      <w:bookmarkStart w:id="32" w:name="_Toc503365507"/>
      <w:bookmarkStart w:id="33" w:name="_Toc503337970"/>
      <w:bookmarkStart w:id="34" w:name="_Toc503342248"/>
      <w:bookmarkStart w:id="35" w:name="_Toc503357746"/>
      <w:bookmarkStart w:id="36" w:name="_Toc503365508"/>
      <w:bookmarkStart w:id="37" w:name="_Toc503337971"/>
      <w:bookmarkStart w:id="38" w:name="_Toc503342249"/>
      <w:bookmarkStart w:id="39" w:name="_Toc503357747"/>
      <w:bookmarkStart w:id="40" w:name="_Toc503365509"/>
      <w:bookmarkStart w:id="41" w:name="_Toc503337972"/>
      <w:bookmarkStart w:id="42" w:name="_Toc503342250"/>
      <w:bookmarkStart w:id="43" w:name="_Toc503357748"/>
      <w:bookmarkStart w:id="44" w:name="_Toc503365510"/>
      <w:bookmarkStart w:id="45" w:name="_Toc503337973"/>
      <w:bookmarkStart w:id="46" w:name="_Toc503342251"/>
      <w:bookmarkStart w:id="47" w:name="_Toc503357749"/>
      <w:bookmarkStart w:id="48" w:name="_Toc503365511"/>
      <w:bookmarkStart w:id="49" w:name="_Toc503365512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>
        <w:t>Instructions for Compliance</w:t>
      </w:r>
      <w:bookmarkEnd w:id="49"/>
    </w:p>
    <w:p w14:paraId="106D09F5" w14:textId="77777777" w:rsidR="004806AE" w:rsidRDefault="004806AE" w:rsidP="004806AE">
      <w:pPr>
        <w:pStyle w:val="NoSpacing"/>
      </w:pPr>
      <w:r>
        <w:t>Before initiating any research project that is expected to generate whole transgenic vertebrate animals the Principal Investigator must conduct the following steps:</w:t>
      </w:r>
    </w:p>
    <w:p w14:paraId="4223BC71" w14:textId="77777777" w:rsidR="004806AE" w:rsidRDefault="004806AE" w:rsidP="004806AE">
      <w:pPr>
        <w:pStyle w:val="NoSpacing"/>
      </w:pPr>
    </w:p>
    <w:p w14:paraId="7951BA4D" w14:textId="56EC7516" w:rsidR="004806AE" w:rsidRDefault="004806AE" w:rsidP="0021116A">
      <w:pPr>
        <w:pStyle w:val="NoSpacing"/>
        <w:numPr>
          <w:ilvl w:val="0"/>
          <w:numId w:val="27"/>
        </w:numPr>
      </w:pPr>
      <w:r>
        <w:t xml:space="preserve">The PI must </w:t>
      </w:r>
      <w:r w:rsidR="005D1068">
        <w:t>receive approval via application from the IACUC and IBC</w:t>
      </w:r>
      <w:r>
        <w:t>.</w:t>
      </w:r>
      <w:r w:rsidR="00A3702F">
        <w:br/>
      </w:r>
    </w:p>
    <w:p w14:paraId="4F650D65" w14:textId="19A1D12C" w:rsidR="004806AE" w:rsidRDefault="004806AE" w:rsidP="00857E09">
      <w:pPr>
        <w:pStyle w:val="NoSpacing"/>
        <w:numPr>
          <w:ilvl w:val="0"/>
          <w:numId w:val="27"/>
        </w:numPr>
      </w:pPr>
      <w:r>
        <w:t xml:space="preserve">Based on the </w:t>
      </w:r>
      <w:r w:rsidR="005D1068">
        <w:t>application</w:t>
      </w:r>
      <w:r>
        <w:t xml:space="preserve">, the </w:t>
      </w:r>
      <w:r w:rsidR="001C7CD7">
        <w:t>IBC</w:t>
      </w:r>
      <w:r>
        <w:t xml:space="preserve"> will determine the extent of institutional </w:t>
      </w:r>
      <w:r w:rsidR="00F575F4">
        <w:t>evaluation</w:t>
      </w:r>
      <w:r w:rsidR="005D1068">
        <w:t>, and if</w:t>
      </w:r>
      <w:r>
        <w:t xml:space="preserve"> the project </w:t>
      </w:r>
      <w:r w:rsidR="00F575F4">
        <w:t>requires review</w:t>
      </w:r>
      <w:r w:rsidR="005D1068">
        <w:t xml:space="preserve"> by</w:t>
      </w:r>
      <w:r>
        <w:t xml:space="preserve"> the NIH Office of Biotechnology Activities (OBA)</w:t>
      </w:r>
      <w:r w:rsidR="005D1068">
        <w:t>.</w:t>
      </w:r>
    </w:p>
    <w:p w14:paraId="72BFBD9F" w14:textId="77777777" w:rsidR="004806AE" w:rsidRDefault="004806AE" w:rsidP="004806AE">
      <w:pPr>
        <w:pStyle w:val="NoSpacing"/>
      </w:pPr>
    </w:p>
    <w:p w14:paraId="158C2900" w14:textId="46731B63" w:rsidR="004806AE" w:rsidRDefault="004806AE" w:rsidP="0021116A">
      <w:pPr>
        <w:pStyle w:val="NoSpacing"/>
        <w:numPr>
          <w:ilvl w:val="0"/>
          <w:numId w:val="27"/>
        </w:numPr>
      </w:pPr>
      <w:r>
        <w:t xml:space="preserve">Before transgenic animals or their tissues can be shipped </w:t>
      </w:r>
      <w:r w:rsidR="00244107">
        <w:t>or sold outside of the university</w:t>
      </w:r>
      <w:r w:rsidR="00D72A60">
        <w:t xml:space="preserve"> </w:t>
      </w:r>
      <w:r w:rsidR="00F575F4">
        <w:t>the IBC</w:t>
      </w:r>
      <w:r w:rsidR="00244107">
        <w:t xml:space="preserve"> and IACUC (if vertebrate animals)</w:t>
      </w:r>
      <w:r w:rsidR="00F575F4">
        <w:t xml:space="preserve"> must grant approval for shipment.</w:t>
      </w:r>
      <w:r>
        <w:t xml:space="preserve"> International shipments may require special review due to export requirements.</w:t>
      </w:r>
    </w:p>
    <w:p w14:paraId="2B69216E" w14:textId="77777777" w:rsidR="004806AE" w:rsidRDefault="004806AE" w:rsidP="004806AE">
      <w:pPr>
        <w:pStyle w:val="NoSpacing"/>
      </w:pPr>
    </w:p>
    <w:p w14:paraId="7B345545" w14:textId="343665C9" w:rsidR="004806AE" w:rsidRDefault="004806AE" w:rsidP="00857E09">
      <w:pPr>
        <w:pStyle w:val="NoSpacing"/>
        <w:numPr>
          <w:ilvl w:val="0"/>
          <w:numId w:val="27"/>
        </w:numPr>
      </w:pPr>
      <w:r>
        <w:t xml:space="preserve">Any breeding of transgenic, non-rodent vertebrate animal species (including but not limited to sheep, cows, pigs and other large vertebrate animals) requires registration and approval by the </w:t>
      </w:r>
      <w:r w:rsidR="001C7CD7">
        <w:t>IBC</w:t>
      </w:r>
      <w:r>
        <w:t xml:space="preserve"> and IACUC. </w:t>
      </w:r>
    </w:p>
    <w:p w14:paraId="21B82FE1" w14:textId="6C8BBABD" w:rsidR="004806AE" w:rsidRDefault="004806AE" w:rsidP="004806AE">
      <w:pPr>
        <w:pStyle w:val="NoSpacing"/>
      </w:pPr>
    </w:p>
    <w:p w14:paraId="2AB42DE2" w14:textId="2A2621DE" w:rsidR="003D6858" w:rsidRDefault="004806AE" w:rsidP="0021116A">
      <w:pPr>
        <w:pStyle w:val="NoSpacing"/>
        <w:numPr>
          <w:ilvl w:val="0"/>
          <w:numId w:val="27"/>
        </w:numPr>
      </w:pPr>
      <w:r>
        <w:t>Any</w:t>
      </w:r>
      <w:r w:rsidR="00D72A60">
        <w:t xml:space="preserve"> cross-</w:t>
      </w:r>
      <w:r>
        <w:t>breeding of two</w:t>
      </w:r>
      <w:r w:rsidR="00D72A60">
        <w:t xml:space="preserve"> or more</w:t>
      </w:r>
      <w:r>
        <w:t xml:space="preserve"> different transgenic vertebrate animal models requires registration and approval of the </w:t>
      </w:r>
      <w:r w:rsidR="001C7CD7">
        <w:t>IBC</w:t>
      </w:r>
      <w:r>
        <w:t xml:space="preserve"> and IACUC.  </w:t>
      </w:r>
    </w:p>
    <w:p w14:paraId="34C85041" w14:textId="57392076" w:rsidR="00BE507A" w:rsidRDefault="00BE507A" w:rsidP="00BE507A">
      <w:pPr>
        <w:pStyle w:val="Heading1"/>
      </w:pPr>
      <w:bookmarkStart w:id="50" w:name="_Toc503365513"/>
      <w:r>
        <w:t>References</w:t>
      </w:r>
      <w:bookmarkEnd w:id="50"/>
    </w:p>
    <w:p w14:paraId="55829139" w14:textId="69B011C2" w:rsidR="00BE507A" w:rsidRPr="008729EE" w:rsidRDefault="00BE507A" w:rsidP="0021116A">
      <w:pPr>
        <w:pStyle w:val="NoSpacing"/>
      </w:pPr>
      <w:r w:rsidRPr="0021116A">
        <w:rPr>
          <w:i/>
        </w:rPr>
        <w:t>NIH Guidelines for Research Involving Recombinant or Synthetic Nucleic Acid Molecules (NIH Guidelines)</w:t>
      </w:r>
      <w:r w:rsidRPr="00BE507A">
        <w:t xml:space="preserve">, </w:t>
      </w:r>
      <w:r>
        <w:t xml:space="preserve">April 2016. </w:t>
      </w:r>
      <w:hyperlink r:id="rId8" w:history="1">
        <w:r w:rsidRPr="00262435">
          <w:rPr>
            <w:rStyle w:val="Hyperlink"/>
          </w:rPr>
          <w:t>https://osp.od.nih.gov/wp-content/uploads/NIH_Guidelines.html</w:t>
        </w:r>
      </w:hyperlink>
      <w:r>
        <w:t xml:space="preserve"> </w:t>
      </w:r>
    </w:p>
    <w:p w14:paraId="1CBD9046" w14:textId="77777777" w:rsidR="003D6858" w:rsidRDefault="003D6858" w:rsidP="003D6858">
      <w:pPr>
        <w:pStyle w:val="NoSpacing"/>
      </w:pPr>
    </w:p>
    <w:sectPr w:rsidR="003D6858" w:rsidSect="0072139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C8A03" w14:textId="77777777" w:rsidR="00070616" w:rsidRDefault="00070616" w:rsidP="0038578C">
      <w:r>
        <w:separator/>
      </w:r>
    </w:p>
  </w:endnote>
  <w:endnote w:type="continuationSeparator" w:id="0">
    <w:p w14:paraId="3952D082" w14:textId="77777777" w:rsidR="00070616" w:rsidRDefault="00070616" w:rsidP="0038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76597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2EEE79" w14:textId="20C39E50" w:rsidR="001560D2" w:rsidRDefault="001560D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230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230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7F79F6" w14:textId="77777777" w:rsidR="00B565E8" w:rsidRDefault="00B565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90C61" w14:textId="77777777" w:rsidR="00070616" w:rsidRDefault="00070616" w:rsidP="0038578C">
      <w:r>
        <w:separator/>
      </w:r>
    </w:p>
  </w:footnote>
  <w:footnote w:type="continuationSeparator" w:id="0">
    <w:p w14:paraId="44233C37" w14:textId="77777777" w:rsidR="00070616" w:rsidRDefault="00070616" w:rsidP="00385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4AECB" w14:textId="77777777" w:rsidR="00B565E8" w:rsidRDefault="00B565E8" w:rsidP="007A102A">
    <w:pPr>
      <w:pStyle w:val="Header"/>
      <w:tabs>
        <w:tab w:val="left" w:pos="720"/>
      </w:tabs>
      <w:rPr>
        <w:rFonts w:ascii="Trebuchet MS" w:hAnsi="Trebuchet MS"/>
      </w:rPr>
    </w:pPr>
    <w:r w:rsidRPr="00C11252">
      <w:rPr>
        <w:rFonts w:ascii="Trebuchet MS" w:hAnsi="Trebuchet MS"/>
        <w:noProof/>
      </w:rPr>
      <w:drawing>
        <wp:anchor distT="0" distB="0" distL="114300" distR="114300" simplePos="0" relativeHeight="251658240" behindDoc="1" locked="0" layoutInCell="1" allowOverlap="1" wp14:anchorId="5736DA8E" wp14:editId="6E6B675A">
          <wp:simplePos x="0" y="0"/>
          <wp:positionH relativeFrom="column">
            <wp:posOffset>-446567</wp:posOffset>
          </wp:positionH>
          <wp:positionV relativeFrom="paragraph">
            <wp:posOffset>-74428</wp:posOffset>
          </wp:positionV>
          <wp:extent cx="882502" cy="882502"/>
          <wp:effectExtent l="0" t="0" r="0" b="0"/>
          <wp:wrapNone/>
          <wp:docPr id="1" name="Picture 1" descr="U:\UI 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UI se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502" cy="882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1252">
      <w:rPr>
        <w:rFonts w:ascii="Trebuchet MS" w:hAnsi="Trebuchet MS"/>
      </w:rPr>
      <w:tab/>
    </w:r>
  </w:p>
  <w:p w14:paraId="46E28AF2" w14:textId="77777777" w:rsidR="00B565E8" w:rsidRPr="008B115D" w:rsidRDefault="00B565E8" w:rsidP="007A102A">
    <w:pPr>
      <w:pStyle w:val="Header"/>
      <w:tabs>
        <w:tab w:val="left" w:pos="720"/>
      </w:tabs>
      <w:rPr>
        <w:rFonts w:ascii="Trebuchet MS" w:hAnsi="Trebuchet MS"/>
      </w:rPr>
    </w:pPr>
    <w:r>
      <w:rPr>
        <w:rFonts w:ascii="Trebuchet MS" w:hAnsi="Trebuchet MS"/>
      </w:rPr>
      <w:tab/>
      <w:t>Institutional Animal Care and Use Committee</w:t>
    </w:r>
    <w:r w:rsidRPr="008B115D">
      <w:rPr>
        <w:rFonts w:ascii="Trebuchet MS" w:hAnsi="Trebuchet MS"/>
      </w:rPr>
      <w:t xml:space="preserve"> </w:t>
    </w:r>
    <w:r w:rsidRPr="008B115D">
      <w:rPr>
        <w:rFonts w:ascii="Trebuchet MS" w:hAnsi="Trebuchet MS"/>
      </w:rPr>
      <w:tab/>
    </w:r>
  </w:p>
  <w:p w14:paraId="7BF940A6" w14:textId="27B12C64" w:rsidR="00B565E8" w:rsidRPr="008B115D" w:rsidRDefault="00B565E8" w:rsidP="007A102A">
    <w:pPr>
      <w:pStyle w:val="Header"/>
      <w:tabs>
        <w:tab w:val="left" w:pos="720"/>
      </w:tabs>
      <w:rPr>
        <w:rFonts w:ascii="Trebuchet MS" w:hAnsi="Trebuchet MS"/>
      </w:rPr>
    </w:pPr>
    <w:r w:rsidRPr="008B115D">
      <w:rPr>
        <w:rFonts w:ascii="Trebuchet MS" w:hAnsi="Trebuchet MS"/>
      </w:rPr>
      <w:tab/>
    </w:r>
    <w:r w:rsidR="00D2245F">
      <w:rPr>
        <w:rFonts w:ascii="Trebuchet MS" w:hAnsi="Trebuchet MS"/>
      </w:rPr>
      <w:t xml:space="preserve">IACUC </w:t>
    </w:r>
    <w:r w:rsidR="005D1068">
      <w:rPr>
        <w:rFonts w:ascii="Trebuchet MS" w:hAnsi="Trebuchet MS"/>
      </w:rPr>
      <w:t>and IBC</w:t>
    </w:r>
    <w:r w:rsidR="00F575F4">
      <w:rPr>
        <w:rFonts w:ascii="Trebuchet MS" w:hAnsi="Trebuchet MS"/>
      </w:rPr>
      <w:t xml:space="preserve"> Joint</w:t>
    </w:r>
    <w:r w:rsidR="005D1068">
      <w:rPr>
        <w:rFonts w:ascii="Trebuchet MS" w:hAnsi="Trebuchet MS"/>
      </w:rPr>
      <w:t xml:space="preserve"> Guidance Document</w:t>
    </w:r>
    <w:r w:rsidR="005C68E3" w:rsidRPr="008B115D">
      <w:rPr>
        <w:rFonts w:ascii="Trebuchet MS" w:hAnsi="Trebuchet MS"/>
      </w:rPr>
      <w:t xml:space="preserve"> </w:t>
    </w:r>
    <w:r w:rsidRPr="008B115D">
      <w:rPr>
        <w:rFonts w:ascii="Trebuchet MS" w:hAnsi="Trebuchet MS"/>
      </w:rPr>
      <w:tab/>
    </w:r>
    <w:r w:rsidR="009464F2">
      <w:rPr>
        <w:rFonts w:ascii="Trebuchet MS" w:hAnsi="Trebuchet MS"/>
      </w:rPr>
      <w:t xml:space="preserve">Effective Date: </w:t>
    </w:r>
    <w:r w:rsidR="00B32308">
      <w:rPr>
        <w:rFonts w:ascii="Trebuchet MS" w:hAnsi="Trebuchet MS"/>
      </w:rPr>
      <w:t>02</w:t>
    </w:r>
    <w:r w:rsidR="0079625F">
      <w:rPr>
        <w:rFonts w:ascii="Trebuchet MS" w:hAnsi="Trebuchet MS"/>
      </w:rPr>
      <w:t>/</w:t>
    </w:r>
    <w:r w:rsidR="00B32308">
      <w:rPr>
        <w:rFonts w:ascii="Trebuchet MS" w:hAnsi="Trebuchet MS"/>
      </w:rPr>
      <w:t>13</w:t>
    </w:r>
    <w:r w:rsidR="00D72FC1">
      <w:rPr>
        <w:rFonts w:ascii="Trebuchet MS" w:hAnsi="Trebuchet MS"/>
      </w:rPr>
      <w:t>/</w:t>
    </w:r>
    <w:r w:rsidR="00B32308">
      <w:rPr>
        <w:rFonts w:ascii="Trebuchet MS" w:hAnsi="Trebuchet MS"/>
      </w:rPr>
      <w:t>2018</w:t>
    </w:r>
  </w:p>
  <w:p w14:paraId="24321F3C" w14:textId="4F645AB4" w:rsidR="00B565E8" w:rsidRPr="008B115D" w:rsidRDefault="00B565E8" w:rsidP="007A102A">
    <w:pPr>
      <w:pStyle w:val="Header"/>
      <w:tabs>
        <w:tab w:val="left" w:pos="720"/>
      </w:tabs>
      <w:rPr>
        <w:rFonts w:ascii="Trebuchet MS" w:hAnsi="Trebuchet MS"/>
      </w:rPr>
    </w:pPr>
    <w:r w:rsidRPr="008B115D">
      <w:rPr>
        <w:rFonts w:ascii="Trebuchet MS" w:hAnsi="Trebuchet MS"/>
      </w:rPr>
      <w:tab/>
    </w:r>
    <w:r w:rsidR="009948A5">
      <w:rPr>
        <w:rFonts w:ascii="Trebuchet MS" w:hAnsi="Trebuchet MS"/>
      </w:rPr>
      <w:t>Genetically Modified Animals</w:t>
    </w:r>
    <w:r w:rsidR="004A1992">
      <w:rPr>
        <w:rFonts w:ascii="Trebuchet MS" w:hAnsi="Trebuchet MS"/>
      </w:rPr>
      <w:tab/>
    </w:r>
    <w:r w:rsidR="004A1992">
      <w:rPr>
        <w:rFonts w:ascii="Trebuchet MS" w:hAnsi="Trebuchet MS"/>
      </w:rPr>
      <w:tab/>
      <w:t xml:space="preserve">Last Revised: </w:t>
    </w:r>
    <w:r w:rsidR="00F575F4">
      <w:rPr>
        <w:rFonts w:ascii="Trebuchet MS" w:hAnsi="Trebuchet MS"/>
      </w:rPr>
      <w:t>0</w:t>
    </w:r>
    <w:r w:rsidR="0097312F">
      <w:rPr>
        <w:rFonts w:ascii="Trebuchet MS" w:hAnsi="Trebuchet MS"/>
      </w:rPr>
      <w:t>1</w:t>
    </w:r>
    <w:r>
      <w:rPr>
        <w:rFonts w:ascii="Trebuchet MS" w:hAnsi="Trebuchet MS"/>
      </w:rPr>
      <w:t>/</w:t>
    </w:r>
    <w:r w:rsidR="009948A5">
      <w:rPr>
        <w:rFonts w:ascii="Trebuchet MS" w:hAnsi="Trebuchet MS"/>
      </w:rPr>
      <w:t>1</w:t>
    </w:r>
    <w:r w:rsidR="00F575F4">
      <w:rPr>
        <w:rFonts w:ascii="Trebuchet MS" w:hAnsi="Trebuchet MS"/>
      </w:rPr>
      <w:t>0</w:t>
    </w:r>
    <w:r w:rsidR="00D2245F">
      <w:rPr>
        <w:rFonts w:ascii="Trebuchet MS" w:hAnsi="Trebuchet MS"/>
      </w:rPr>
      <w:t>/2017</w:t>
    </w:r>
  </w:p>
  <w:p w14:paraId="31E50F3F" w14:textId="77777777" w:rsidR="00B565E8" w:rsidRPr="008B115D" w:rsidRDefault="00B565E8" w:rsidP="00C11252">
    <w:pPr>
      <w:pStyle w:val="Header"/>
      <w:tabs>
        <w:tab w:val="left" w:pos="1620"/>
      </w:tabs>
      <w:rPr>
        <w:rFonts w:ascii="Trebuchet MS" w:hAnsi="Trebuchet MS"/>
      </w:rPr>
    </w:pPr>
    <w:r w:rsidRPr="008B115D">
      <w:rPr>
        <w:rFonts w:ascii="Trebuchet MS" w:hAnsi="Trebuchet M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68EBDF" wp14:editId="392D8D5F">
              <wp:simplePos x="0" y="0"/>
              <wp:positionH relativeFrom="column">
                <wp:posOffset>457199</wp:posOffset>
              </wp:positionH>
              <wp:positionV relativeFrom="paragraph">
                <wp:posOffset>52779</wp:posOffset>
              </wp:positionV>
              <wp:extent cx="5475767" cy="0"/>
              <wp:effectExtent l="0" t="0" r="2984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757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3B134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4.15pt" to="467.1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GYfugEAAMMDAAAOAAAAZHJzL2Uyb0RvYy54bWysU8tu2zAQvBfIPxC815KdJi4Eyzk4aC9B&#10;ajTtBzDU0iLAF5asJf99l7SsFGmBokUuFJfcmd0ZrjZ3ozXsCBi1dy1fLmrOwEnfaXdo+fdvn95/&#10;5Cwm4TphvIOWnyDyu+3Vu80QGlj53psOkBGJi80QWt6nFJqqirIHK+LCB3B0qTxakSjEQ9WhGIjd&#10;mmpV17fV4LEL6CXESKf350u+LfxKgUxflIqQmGk59ZbKimV9zmu13YjmgCL0Wk5tiP/owgrtqOhM&#10;dS+SYD9Q/0ZltUQfvUoL6W3lldISigZSs6xfqXnqRYCihcyJYbYpvh2tfDzukemu5SvOnLD0RE8J&#10;hT70ie28c2SgR7bKPg0hNpS+c3ucohj2mEWPCm3+khw2Fm9Ps7cwJibp8ObD+mZ9u+ZMXu6qF2DA&#10;mD6DtyxvWm60y7JFI44PMVExSr2kUJAbOZcuu3QykJON+wqKpFCxZUGXIYKdQXYU9PxCSnDpOksh&#10;vpKdYUobMwPrvwOn/AyFMmD/Ap4RpbJ3aQZb7Tz+qXoal1PL6px/ceCsO1vw7LtTeZRiDU1KUThN&#10;dR7FX+MCf/n3tj8BAAD//wMAUEsDBBQABgAIAAAAIQAR9Dyr3AAAAAYBAAAPAAAAZHJzL2Rvd25y&#10;ZXYueG1sTI9BS8NAEIXvgv9hGcGb3bQVrTGbUhQFwUOtCh4n2Wk2NDsbs9s2/ntHL3p7jze8902x&#10;HH2nDjTENrCB6SQDRVwH23Jj4O314WIBKiZki11gMvBFEZbl6UmBuQ1HfqHDJjVKSjjmaMCl1Oda&#10;x9qRxzgJPbFk2zB4TGKHRtsBj1LuOz3LsivtsWVZcNjTnaN6t9l7A9udnz4+3+Nn9f40Vh/r2JAb&#10;V8acn42rW1CJxvR3DD/4gg6lMFVhzzaqzsD1TF5JBhZzUBLfzC9FVL9el4X+j19+AwAA//8DAFBL&#10;AQItABQABgAIAAAAIQC2gziS/gAAAOEBAAATAAAAAAAAAAAAAAAAAAAAAABbQ29udGVudF9UeXBl&#10;c10ueG1sUEsBAi0AFAAGAAgAAAAhADj9If/WAAAAlAEAAAsAAAAAAAAAAAAAAAAALwEAAF9yZWxz&#10;Ly5yZWxzUEsBAi0AFAAGAAgAAAAhAEtcZh+6AQAAwwMAAA4AAAAAAAAAAAAAAAAALgIAAGRycy9l&#10;Mm9Eb2MueG1sUEsBAi0AFAAGAAgAAAAhABH0PKvcAAAABgEAAA8AAAAAAAAAAAAAAAAAFAQAAGRy&#10;cy9kb3ducmV2LnhtbFBLBQYAAAAABAAEAPMAAAAdBQAAAAA=&#10;" strokecolor="#a5a5a5 [3206]" strokeweight=".5pt">
              <v:stroke joinstyle="miter"/>
            </v:line>
          </w:pict>
        </mc:Fallback>
      </mc:AlternateContent>
    </w:r>
    <w:r w:rsidRPr="008B115D">
      <w:rPr>
        <w:rFonts w:ascii="Trebuchet MS" w:hAnsi="Trebuchet M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24C4"/>
    <w:multiLevelType w:val="hybridMultilevel"/>
    <w:tmpl w:val="4978E210"/>
    <w:lvl w:ilvl="0" w:tplc="B4AEE6A6">
      <w:start w:val="1"/>
      <w:numFmt w:val="decimal"/>
      <w:pStyle w:val="Heading3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77A90"/>
    <w:multiLevelType w:val="hybridMultilevel"/>
    <w:tmpl w:val="7D6AE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D5F19"/>
    <w:multiLevelType w:val="hybridMultilevel"/>
    <w:tmpl w:val="0C22B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52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E4495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C80080"/>
    <w:multiLevelType w:val="hybridMultilevel"/>
    <w:tmpl w:val="2AA201B0"/>
    <w:lvl w:ilvl="0" w:tplc="F164220A">
      <w:start w:val="1"/>
      <w:numFmt w:val="lowerRoman"/>
      <w:pStyle w:val="Heading5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3C36FD"/>
    <w:multiLevelType w:val="hybridMultilevel"/>
    <w:tmpl w:val="A088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6777F"/>
    <w:multiLevelType w:val="hybridMultilevel"/>
    <w:tmpl w:val="49C2F5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220AA8"/>
    <w:multiLevelType w:val="hybridMultilevel"/>
    <w:tmpl w:val="F1284C1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E18AD"/>
    <w:multiLevelType w:val="hybridMultilevel"/>
    <w:tmpl w:val="C2049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9404A"/>
    <w:multiLevelType w:val="hybridMultilevel"/>
    <w:tmpl w:val="2BD04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986524"/>
    <w:multiLevelType w:val="hybridMultilevel"/>
    <w:tmpl w:val="A53EC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93713"/>
    <w:multiLevelType w:val="hybridMultilevel"/>
    <w:tmpl w:val="2A009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C6FC4"/>
    <w:multiLevelType w:val="hybridMultilevel"/>
    <w:tmpl w:val="E1E6F0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C45825"/>
    <w:multiLevelType w:val="hybridMultilevel"/>
    <w:tmpl w:val="0D6C234E"/>
    <w:lvl w:ilvl="0" w:tplc="DC6A8708">
      <w:start w:val="1"/>
      <w:numFmt w:val="upperRoman"/>
      <w:pStyle w:val="Heading1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E04C800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031E2"/>
    <w:multiLevelType w:val="hybridMultilevel"/>
    <w:tmpl w:val="B9B2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90F47"/>
    <w:multiLevelType w:val="hybridMultilevel"/>
    <w:tmpl w:val="E71E29EC"/>
    <w:lvl w:ilvl="0" w:tplc="06DEC6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816A68"/>
    <w:multiLevelType w:val="hybridMultilevel"/>
    <w:tmpl w:val="2536F5D0"/>
    <w:lvl w:ilvl="0" w:tplc="CB66851E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75455"/>
    <w:multiLevelType w:val="hybridMultilevel"/>
    <w:tmpl w:val="999C8498"/>
    <w:lvl w:ilvl="0" w:tplc="3EF0EE68">
      <w:start w:val="1"/>
      <w:numFmt w:val="lowerLetter"/>
      <w:pStyle w:val="Heading4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42E5FF8"/>
    <w:multiLevelType w:val="hybridMultilevel"/>
    <w:tmpl w:val="E146B5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6F3D51"/>
    <w:multiLevelType w:val="hybridMultilevel"/>
    <w:tmpl w:val="132E0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14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4"/>
  </w:num>
  <w:num w:numId="8">
    <w:abstractNumId w:val="3"/>
  </w:num>
  <w:num w:numId="9">
    <w:abstractNumId w:val="10"/>
  </w:num>
  <w:num w:numId="10">
    <w:abstractNumId w:val="12"/>
  </w:num>
  <w:num w:numId="11">
    <w:abstractNumId w:val="13"/>
  </w:num>
  <w:num w:numId="12">
    <w:abstractNumId w:val="8"/>
  </w:num>
  <w:num w:numId="13">
    <w:abstractNumId w:val="17"/>
  </w:num>
  <w:num w:numId="14">
    <w:abstractNumId w:val="2"/>
  </w:num>
  <w:num w:numId="15">
    <w:abstractNumId w:val="17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</w:num>
  <w:num w:numId="19">
    <w:abstractNumId w:val="0"/>
    <w:lvlOverride w:ilvl="0">
      <w:startOverride w:val="1"/>
    </w:lvlOverride>
  </w:num>
  <w:num w:numId="20">
    <w:abstractNumId w:val="16"/>
  </w:num>
  <w:num w:numId="21">
    <w:abstractNumId w:val="20"/>
  </w:num>
  <w:num w:numId="22">
    <w:abstractNumId w:val="11"/>
  </w:num>
  <w:num w:numId="23">
    <w:abstractNumId w:val="1"/>
  </w:num>
  <w:num w:numId="24">
    <w:abstractNumId w:val="14"/>
    <w:lvlOverride w:ilvl="0">
      <w:startOverride w:val="1"/>
    </w:lvlOverride>
  </w:num>
  <w:num w:numId="25">
    <w:abstractNumId w:val="7"/>
  </w:num>
  <w:num w:numId="26">
    <w:abstractNumId w:val="15"/>
  </w:num>
  <w:num w:numId="27">
    <w:abstractNumId w:val="9"/>
  </w:num>
  <w:num w:numId="28">
    <w:abstractNumId w:val="19"/>
  </w:num>
  <w:num w:numId="2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8C"/>
    <w:rsid w:val="00010A96"/>
    <w:rsid w:val="0001538E"/>
    <w:rsid w:val="00016BA1"/>
    <w:rsid w:val="00017F35"/>
    <w:rsid w:val="0003021E"/>
    <w:rsid w:val="00034512"/>
    <w:rsid w:val="000349C7"/>
    <w:rsid w:val="000426AB"/>
    <w:rsid w:val="00044B89"/>
    <w:rsid w:val="000464BD"/>
    <w:rsid w:val="000464DF"/>
    <w:rsid w:val="00055E2B"/>
    <w:rsid w:val="000561CB"/>
    <w:rsid w:val="0006165B"/>
    <w:rsid w:val="00070616"/>
    <w:rsid w:val="0007092C"/>
    <w:rsid w:val="00071BC1"/>
    <w:rsid w:val="000734D4"/>
    <w:rsid w:val="000740E1"/>
    <w:rsid w:val="000817E6"/>
    <w:rsid w:val="0008330E"/>
    <w:rsid w:val="00085DCE"/>
    <w:rsid w:val="00086E66"/>
    <w:rsid w:val="000937FF"/>
    <w:rsid w:val="000941A5"/>
    <w:rsid w:val="000A1748"/>
    <w:rsid w:val="000A3910"/>
    <w:rsid w:val="000B248D"/>
    <w:rsid w:val="000B2DB2"/>
    <w:rsid w:val="000C261C"/>
    <w:rsid w:val="000C26C3"/>
    <w:rsid w:val="000C2B50"/>
    <w:rsid w:val="000C3861"/>
    <w:rsid w:val="000C5A9D"/>
    <w:rsid w:val="000D2293"/>
    <w:rsid w:val="000D294C"/>
    <w:rsid w:val="000D311A"/>
    <w:rsid w:val="000D4CE6"/>
    <w:rsid w:val="000D6865"/>
    <w:rsid w:val="000D71EA"/>
    <w:rsid w:val="000E084D"/>
    <w:rsid w:val="000E1E2D"/>
    <w:rsid w:val="000E1FD8"/>
    <w:rsid w:val="000E21AA"/>
    <w:rsid w:val="000E3A6E"/>
    <w:rsid w:val="000E4447"/>
    <w:rsid w:val="000E4539"/>
    <w:rsid w:val="000E7ADA"/>
    <w:rsid w:val="000F61A6"/>
    <w:rsid w:val="00100E4B"/>
    <w:rsid w:val="001019E2"/>
    <w:rsid w:val="0010276F"/>
    <w:rsid w:val="00103C4D"/>
    <w:rsid w:val="00104338"/>
    <w:rsid w:val="00111BB6"/>
    <w:rsid w:val="00113329"/>
    <w:rsid w:val="00115D69"/>
    <w:rsid w:val="001165C0"/>
    <w:rsid w:val="00125F95"/>
    <w:rsid w:val="00127E3A"/>
    <w:rsid w:val="00131336"/>
    <w:rsid w:val="00135E57"/>
    <w:rsid w:val="00136C15"/>
    <w:rsid w:val="00137421"/>
    <w:rsid w:val="0013792C"/>
    <w:rsid w:val="00141F6C"/>
    <w:rsid w:val="00144E41"/>
    <w:rsid w:val="00145543"/>
    <w:rsid w:val="00145A30"/>
    <w:rsid w:val="00146CB8"/>
    <w:rsid w:val="001503B2"/>
    <w:rsid w:val="00150CA0"/>
    <w:rsid w:val="00150F4B"/>
    <w:rsid w:val="00152A27"/>
    <w:rsid w:val="00152C65"/>
    <w:rsid w:val="00154540"/>
    <w:rsid w:val="001560D2"/>
    <w:rsid w:val="00160210"/>
    <w:rsid w:val="0016394F"/>
    <w:rsid w:val="00163B72"/>
    <w:rsid w:val="001671E5"/>
    <w:rsid w:val="00167673"/>
    <w:rsid w:val="001678E1"/>
    <w:rsid w:val="00174356"/>
    <w:rsid w:val="00174B69"/>
    <w:rsid w:val="00174DB6"/>
    <w:rsid w:val="00191378"/>
    <w:rsid w:val="00192C9E"/>
    <w:rsid w:val="001A1101"/>
    <w:rsid w:val="001A1727"/>
    <w:rsid w:val="001A20C1"/>
    <w:rsid w:val="001B0F09"/>
    <w:rsid w:val="001B5AB9"/>
    <w:rsid w:val="001B6ED3"/>
    <w:rsid w:val="001B771E"/>
    <w:rsid w:val="001C0CE5"/>
    <w:rsid w:val="001C220B"/>
    <w:rsid w:val="001C6126"/>
    <w:rsid w:val="001C7CD7"/>
    <w:rsid w:val="001D3F1E"/>
    <w:rsid w:val="001E02C4"/>
    <w:rsid w:val="001E0F39"/>
    <w:rsid w:val="001E3254"/>
    <w:rsid w:val="001E4DFF"/>
    <w:rsid w:val="001E7DF6"/>
    <w:rsid w:val="001F12EA"/>
    <w:rsid w:val="001F2C6D"/>
    <w:rsid w:val="001F2F55"/>
    <w:rsid w:val="001F5788"/>
    <w:rsid w:val="001F75BC"/>
    <w:rsid w:val="002003C9"/>
    <w:rsid w:val="0021116A"/>
    <w:rsid w:val="00217530"/>
    <w:rsid w:val="00217901"/>
    <w:rsid w:val="00221C57"/>
    <w:rsid w:val="002246F2"/>
    <w:rsid w:val="00225838"/>
    <w:rsid w:val="00227A5A"/>
    <w:rsid w:val="00233109"/>
    <w:rsid w:val="0023478D"/>
    <w:rsid w:val="00237B12"/>
    <w:rsid w:val="0024057B"/>
    <w:rsid w:val="00241DD9"/>
    <w:rsid w:val="00244107"/>
    <w:rsid w:val="00257ACD"/>
    <w:rsid w:val="0026190C"/>
    <w:rsid w:val="00261A85"/>
    <w:rsid w:val="00262CBC"/>
    <w:rsid w:val="00270078"/>
    <w:rsid w:val="00281503"/>
    <w:rsid w:val="00282CAA"/>
    <w:rsid w:val="00283A65"/>
    <w:rsid w:val="0028658D"/>
    <w:rsid w:val="00293E2B"/>
    <w:rsid w:val="00296010"/>
    <w:rsid w:val="002A362E"/>
    <w:rsid w:val="002A684B"/>
    <w:rsid w:val="002A68ED"/>
    <w:rsid w:val="002C0DC4"/>
    <w:rsid w:val="002C35FC"/>
    <w:rsid w:val="002C3613"/>
    <w:rsid w:val="002C4D5A"/>
    <w:rsid w:val="002C6D9C"/>
    <w:rsid w:val="002D1C54"/>
    <w:rsid w:val="002D5B0A"/>
    <w:rsid w:val="002E06F3"/>
    <w:rsid w:val="002E1F53"/>
    <w:rsid w:val="002E41D9"/>
    <w:rsid w:val="002F0CCE"/>
    <w:rsid w:val="002F37A2"/>
    <w:rsid w:val="002F5C64"/>
    <w:rsid w:val="0030099E"/>
    <w:rsid w:val="0030225D"/>
    <w:rsid w:val="00306C7E"/>
    <w:rsid w:val="0031165E"/>
    <w:rsid w:val="00311EA4"/>
    <w:rsid w:val="0031516D"/>
    <w:rsid w:val="0031555D"/>
    <w:rsid w:val="00320B95"/>
    <w:rsid w:val="00337905"/>
    <w:rsid w:val="0034129A"/>
    <w:rsid w:val="00341D79"/>
    <w:rsid w:val="00344D48"/>
    <w:rsid w:val="0034782B"/>
    <w:rsid w:val="00347D1A"/>
    <w:rsid w:val="00351127"/>
    <w:rsid w:val="003513C6"/>
    <w:rsid w:val="003528A7"/>
    <w:rsid w:val="00356B11"/>
    <w:rsid w:val="00364401"/>
    <w:rsid w:val="003712E3"/>
    <w:rsid w:val="00375832"/>
    <w:rsid w:val="00383F2B"/>
    <w:rsid w:val="0038578C"/>
    <w:rsid w:val="0038785B"/>
    <w:rsid w:val="00391101"/>
    <w:rsid w:val="00392784"/>
    <w:rsid w:val="00392F30"/>
    <w:rsid w:val="00396AD8"/>
    <w:rsid w:val="003A0EC6"/>
    <w:rsid w:val="003A1A2D"/>
    <w:rsid w:val="003B1ECD"/>
    <w:rsid w:val="003B4BE7"/>
    <w:rsid w:val="003B6675"/>
    <w:rsid w:val="003B7374"/>
    <w:rsid w:val="003C08E2"/>
    <w:rsid w:val="003C3A7B"/>
    <w:rsid w:val="003C45C9"/>
    <w:rsid w:val="003C7B2E"/>
    <w:rsid w:val="003D0564"/>
    <w:rsid w:val="003D2458"/>
    <w:rsid w:val="003D6496"/>
    <w:rsid w:val="003D6858"/>
    <w:rsid w:val="003D699C"/>
    <w:rsid w:val="003E686F"/>
    <w:rsid w:val="003E6901"/>
    <w:rsid w:val="003F1353"/>
    <w:rsid w:val="003F3FDD"/>
    <w:rsid w:val="003F4495"/>
    <w:rsid w:val="003F561D"/>
    <w:rsid w:val="003F6AA2"/>
    <w:rsid w:val="00401C92"/>
    <w:rsid w:val="00402A56"/>
    <w:rsid w:val="00412C84"/>
    <w:rsid w:val="0041469B"/>
    <w:rsid w:val="00420A15"/>
    <w:rsid w:val="00422759"/>
    <w:rsid w:val="004235F2"/>
    <w:rsid w:val="004326DE"/>
    <w:rsid w:val="004332CC"/>
    <w:rsid w:val="004367A6"/>
    <w:rsid w:val="004378F0"/>
    <w:rsid w:val="00440397"/>
    <w:rsid w:val="00440F87"/>
    <w:rsid w:val="00446190"/>
    <w:rsid w:val="00451676"/>
    <w:rsid w:val="004600FF"/>
    <w:rsid w:val="00461AD7"/>
    <w:rsid w:val="00466342"/>
    <w:rsid w:val="00472C4D"/>
    <w:rsid w:val="00473059"/>
    <w:rsid w:val="0047360B"/>
    <w:rsid w:val="004755BA"/>
    <w:rsid w:val="0047639F"/>
    <w:rsid w:val="004765E5"/>
    <w:rsid w:val="00480622"/>
    <w:rsid w:val="004806AE"/>
    <w:rsid w:val="00481028"/>
    <w:rsid w:val="004846F7"/>
    <w:rsid w:val="0048763A"/>
    <w:rsid w:val="00495494"/>
    <w:rsid w:val="004A1992"/>
    <w:rsid w:val="004A3D39"/>
    <w:rsid w:val="004A4E00"/>
    <w:rsid w:val="004A5147"/>
    <w:rsid w:val="004A6191"/>
    <w:rsid w:val="004B016A"/>
    <w:rsid w:val="004B2238"/>
    <w:rsid w:val="004B466B"/>
    <w:rsid w:val="004B592B"/>
    <w:rsid w:val="004B7A09"/>
    <w:rsid w:val="004C19A7"/>
    <w:rsid w:val="004C37E6"/>
    <w:rsid w:val="004C43B3"/>
    <w:rsid w:val="004C52C2"/>
    <w:rsid w:val="004D2CC6"/>
    <w:rsid w:val="004D413B"/>
    <w:rsid w:val="004D76CE"/>
    <w:rsid w:val="004D7A6D"/>
    <w:rsid w:val="004E1527"/>
    <w:rsid w:val="004E431E"/>
    <w:rsid w:val="004F278A"/>
    <w:rsid w:val="004F3B71"/>
    <w:rsid w:val="004F614E"/>
    <w:rsid w:val="00504339"/>
    <w:rsid w:val="0050434D"/>
    <w:rsid w:val="00504C95"/>
    <w:rsid w:val="005128FC"/>
    <w:rsid w:val="0051325F"/>
    <w:rsid w:val="005135F3"/>
    <w:rsid w:val="00515056"/>
    <w:rsid w:val="00515FBD"/>
    <w:rsid w:val="00516E0D"/>
    <w:rsid w:val="00517A57"/>
    <w:rsid w:val="00523923"/>
    <w:rsid w:val="005277F5"/>
    <w:rsid w:val="00527882"/>
    <w:rsid w:val="0053071D"/>
    <w:rsid w:val="005329C9"/>
    <w:rsid w:val="00537124"/>
    <w:rsid w:val="0054252C"/>
    <w:rsid w:val="005431A4"/>
    <w:rsid w:val="00545F82"/>
    <w:rsid w:val="00551635"/>
    <w:rsid w:val="005521E6"/>
    <w:rsid w:val="00554662"/>
    <w:rsid w:val="00554F66"/>
    <w:rsid w:val="00557A20"/>
    <w:rsid w:val="0056316D"/>
    <w:rsid w:val="00563EB7"/>
    <w:rsid w:val="0057220F"/>
    <w:rsid w:val="0057429E"/>
    <w:rsid w:val="00581EA7"/>
    <w:rsid w:val="00585287"/>
    <w:rsid w:val="005856B8"/>
    <w:rsid w:val="00585738"/>
    <w:rsid w:val="00591C1D"/>
    <w:rsid w:val="00597353"/>
    <w:rsid w:val="005A05EC"/>
    <w:rsid w:val="005A1AF8"/>
    <w:rsid w:val="005A3966"/>
    <w:rsid w:val="005A53A6"/>
    <w:rsid w:val="005B7337"/>
    <w:rsid w:val="005B749A"/>
    <w:rsid w:val="005C168A"/>
    <w:rsid w:val="005C49DB"/>
    <w:rsid w:val="005C68E3"/>
    <w:rsid w:val="005D1068"/>
    <w:rsid w:val="005D173C"/>
    <w:rsid w:val="005D3392"/>
    <w:rsid w:val="005D5470"/>
    <w:rsid w:val="005D5FC1"/>
    <w:rsid w:val="005E37B2"/>
    <w:rsid w:val="005E606D"/>
    <w:rsid w:val="005F0572"/>
    <w:rsid w:val="005F270E"/>
    <w:rsid w:val="005F2AEB"/>
    <w:rsid w:val="005F2B09"/>
    <w:rsid w:val="005F579F"/>
    <w:rsid w:val="0060024B"/>
    <w:rsid w:val="00610CF6"/>
    <w:rsid w:val="006248DE"/>
    <w:rsid w:val="00625809"/>
    <w:rsid w:val="00630CCF"/>
    <w:rsid w:val="006328DA"/>
    <w:rsid w:val="00634F93"/>
    <w:rsid w:val="006411CA"/>
    <w:rsid w:val="006413D1"/>
    <w:rsid w:val="00643C29"/>
    <w:rsid w:val="00646B63"/>
    <w:rsid w:val="006500D2"/>
    <w:rsid w:val="00650717"/>
    <w:rsid w:val="0065075E"/>
    <w:rsid w:val="006512CE"/>
    <w:rsid w:val="00656E23"/>
    <w:rsid w:val="00672D6D"/>
    <w:rsid w:val="00680B60"/>
    <w:rsid w:val="00681B15"/>
    <w:rsid w:val="006822CF"/>
    <w:rsid w:val="0068402C"/>
    <w:rsid w:val="006849F8"/>
    <w:rsid w:val="0069054E"/>
    <w:rsid w:val="00691606"/>
    <w:rsid w:val="006968F8"/>
    <w:rsid w:val="006A3024"/>
    <w:rsid w:val="006A7DD7"/>
    <w:rsid w:val="006B005C"/>
    <w:rsid w:val="006B527B"/>
    <w:rsid w:val="006B7E14"/>
    <w:rsid w:val="006C2519"/>
    <w:rsid w:val="006C31FE"/>
    <w:rsid w:val="006C332C"/>
    <w:rsid w:val="006D0051"/>
    <w:rsid w:val="006D0515"/>
    <w:rsid w:val="006D06AB"/>
    <w:rsid w:val="006D16FE"/>
    <w:rsid w:val="006D2E77"/>
    <w:rsid w:val="006D5885"/>
    <w:rsid w:val="006D646E"/>
    <w:rsid w:val="006D7114"/>
    <w:rsid w:val="006E430A"/>
    <w:rsid w:val="006E54DE"/>
    <w:rsid w:val="006E6E0F"/>
    <w:rsid w:val="006E7E41"/>
    <w:rsid w:val="006F22DE"/>
    <w:rsid w:val="006F4A56"/>
    <w:rsid w:val="006F7E16"/>
    <w:rsid w:val="00701314"/>
    <w:rsid w:val="007054C2"/>
    <w:rsid w:val="00706B2B"/>
    <w:rsid w:val="00711484"/>
    <w:rsid w:val="007116D3"/>
    <w:rsid w:val="00714FFF"/>
    <w:rsid w:val="007152BB"/>
    <w:rsid w:val="00721398"/>
    <w:rsid w:val="00730671"/>
    <w:rsid w:val="00733FFF"/>
    <w:rsid w:val="007346DD"/>
    <w:rsid w:val="0073749A"/>
    <w:rsid w:val="00737FB3"/>
    <w:rsid w:val="00742A6D"/>
    <w:rsid w:val="0074438B"/>
    <w:rsid w:val="0075729C"/>
    <w:rsid w:val="00761ECF"/>
    <w:rsid w:val="00763B43"/>
    <w:rsid w:val="007678DC"/>
    <w:rsid w:val="00773599"/>
    <w:rsid w:val="0077398E"/>
    <w:rsid w:val="0077550A"/>
    <w:rsid w:val="007755B7"/>
    <w:rsid w:val="00775E87"/>
    <w:rsid w:val="00775EC1"/>
    <w:rsid w:val="0078235A"/>
    <w:rsid w:val="007834D0"/>
    <w:rsid w:val="0079608A"/>
    <w:rsid w:val="0079625F"/>
    <w:rsid w:val="007A102A"/>
    <w:rsid w:val="007A2AC9"/>
    <w:rsid w:val="007A4644"/>
    <w:rsid w:val="007A6F45"/>
    <w:rsid w:val="007B4145"/>
    <w:rsid w:val="007B4533"/>
    <w:rsid w:val="007B7754"/>
    <w:rsid w:val="007C0E77"/>
    <w:rsid w:val="007C117D"/>
    <w:rsid w:val="007C1C46"/>
    <w:rsid w:val="007C2994"/>
    <w:rsid w:val="007C2F12"/>
    <w:rsid w:val="007C3F18"/>
    <w:rsid w:val="007C4861"/>
    <w:rsid w:val="007C50FD"/>
    <w:rsid w:val="007C6C70"/>
    <w:rsid w:val="007D1143"/>
    <w:rsid w:val="007D2806"/>
    <w:rsid w:val="007D4274"/>
    <w:rsid w:val="007D78B9"/>
    <w:rsid w:val="007E4600"/>
    <w:rsid w:val="007F4DC8"/>
    <w:rsid w:val="007F4E65"/>
    <w:rsid w:val="00801B8C"/>
    <w:rsid w:val="008120A6"/>
    <w:rsid w:val="008147C9"/>
    <w:rsid w:val="0082202F"/>
    <w:rsid w:val="0082251C"/>
    <w:rsid w:val="008231E7"/>
    <w:rsid w:val="00832F0C"/>
    <w:rsid w:val="00833101"/>
    <w:rsid w:val="0083553C"/>
    <w:rsid w:val="008413BF"/>
    <w:rsid w:val="00844E2E"/>
    <w:rsid w:val="00851867"/>
    <w:rsid w:val="00857E09"/>
    <w:rsid w:val="00861463"/>
    <w:rsid w:val="008620BE"/>
    <w:rsid w:val="008640BB"/>
    <w:rsid w:val="00866ED2"/>
    <w:rsid w:val="0087000A"/>
    <w:rsid w:val="00871AC3"/>
    <w:rsid w:val="008729EE"/>
    <w:rsid w:val="008730B2"/>
    <w:rsid w:val="0088639C"/>
    <w:rsid w:val="00892278"/>
    <w:rsid w:val="008936B9"/>
    <w:rsid w:val="008A1DD3"/>
    <w:rsid w:val="008A3301"/>
    <w:rsid w:val="008A561A"/>
    <w:rsid w:val="008A69DE"/>
    <w:rsid w:val="008B115D"/>
    <w:rsid w:val="008B23CA"/>
    <w:rsid w:val="008B7746"/>
    <w:rsid w:val="008C000C"/>
    <w:rsid w:val="008C2775"/>
    <w:rsid w:val="008D1B34"/>
    <w:rsid w:val="008D247C"/>
    <w:rsid w:val="008D4793"/>
    <w:rsid w:val="008E0B4A"/>
    <w:rsid w:val="008E3DB2"/>
    <w:rsid w:val="008E68F6"/>
    <w:rsid w:val="008F51BD"/>
    <w:rsid w:val="008F59A1"/>
    <w:rsid w:val="00901E2E"/>
    <w:rsid w:val="00907941"/>
    <w:rsid w:val="00911249"/>
    <w:rsid w:val="009122C5"/>
    <w:rsid w:val="00914FFB"/>
    <w:rsid w:val="0091613D"/>
    <w:rsid w:val="009162BC"/>
    <w:rsid w:val="0092002B"/>
    <w:rsid w:val="0092295B"/>
    <w:rsid w:val="00924A26"/>
    <w:rsid w:val="00926690"/>
    <w:rsid w:val="00930519"/>
    <w:rsid w:val="00931BFC"/>
    <w:rsid w:val="009459FD"/>
    <w:rsid w:val="009464F2"/>
    <w:rsid w:val="00947A92"/>
    <w:rsid w:val="00950F29"/>
    <w:rsid w:val="00952DCE"/>
    <w:rsid w:val="0095502E"/>
    <w:rsid w:val="009569E3"/>
    <w:rsid w:val="00957D8A"/>
    <w:rsid w:val="00965EB7"/>
    <w:rsid w:val="00966037"/>
    <w:rsid w:val="009668B2"/>
    <w:rsid w:val="0097312F"/>
    <w:rsid w:val="009754A3"/>
    <w:rsid w:val="00976058"/>
    <w:rsid w:val="00976993"/>
    <w:rsid w:val="0097745B"/>
    <w:rsid w:val="0098363F"/>
    <w:rsid w:val="00987050"/>
    <w:rsid w:val="009948A5"/>
    <w:rsid w:val="0099724F"/>
    <w:rsid w:val="009A7D2A"/>
    <w:rsid w:val="009B1964"/>
    <w:rsid w:val="009B4000"/>
    <w:rsid w:val="009B562A"/>
    <w:rsid w:val="009B5C87"/>
    <w:rsid w:val="009B7237"/>
    <w:rsid w:val="009C0AE1"/>
    <w:rsid w:val="009C1D3A"/>
    <w:rsid w:val="009C50F5"/>
    <w:rsid w:val="009C56B2"/>
    <w:rsid w:val="009C719E"/>
    <w:rsid w:val="009D20FE"/>
    <w:rsid w:val="009D6AE1"/>
    <w:rsid w:val="009E59F3"/>
    <w:rsid w:val="009E6180"/>
    <w:rsid w:val="009F2002"/>
    <w:rsid w:val="009F7542"/>
    <w:rsid w:val="009F7772"/>
    <w:rsid w:val="009F7A4E"/>
    <w:rsid w:val="00A05A25"/>
    <w:rsid w:val="00A132F9"/>
    <w:rsid w:val="00A15FBB"/>
    <w:rsid w:val="00A304FB"/>
    <w:rsid w:val="00A35AEC"/>
    <w:rsid w:val="00A36DA0"/>
    <w:rsid w:val="00A3702F"/>
    <w:rsid w:val="00A42995"/>
    <w:rsid w:val="00A443B2"/>
    <w:rsid w:val="00A514A9"/>
    <w:rsid w:val="00A5485C"/>
    <w:rsid w:val="00A54FF1"/>
    <w:rsid w:val="00A61590"/>
    <w:rsid w:val="00A653FC"/>
    <w:rsid w:val="00A65EAA"/>
    <w:rsid w:val="00A661AC"/>
    <w:rsid w:val="00A71E31"/>
    <w:rsid w:val="00A74D8B"/>
    <w:rsid w:val="00A82530"/>
    <w:rsid w:val="00A83258"/>
    <w:rsid w:val="00A92A57"/>
    <w:rsid w:val="00A9404C"/>
    <w:rsid w:val="00A9421C"/>
    <w:rsid w:val="00AA2DC9"/>
    <w:rsid w:val="00AA398A"/>
    <w:rsid w:val="00AA626D"/>
    <w:rsid w:val="00AA64A7"/>
    <w:rsid w:val="00AA67D6"/>
    <w:rsid w:val="00AB09BF"/>
    <w:rsid w:val="00AB0E1A"/>
    <w:rsid w:val="00AB153B"/>
    <w:rsid w:val="00AB1B95"/>
    <w:rsid w:val="00AB56E4"/>
    <w:rsid w:val="00AC1B79"/>
    <w:rsid w:val="00AC4B7E"/>
    <w:rsid w:val="00AC69BB"/>
    <w:rsid w:val="00AD3640"/>
    <w:rsid w:val="00AD4CCB"/>
    <w:rsid w:val="00AE107E"/>
    <w:rsid w:val="00AE1201"/>
    <w:rsid w:val="00AE51C9"/>
    <w:rsid w:val="00AE57FB"/>
    <w:rsid w:val="00AE7815"/>
    <w:rsid w:val="00AF0064"/>
    <w:rsid w:val="00AF02AA"/>
    <w:rsid w:val="00AF4D4F"/>
    <w:rsid w:val="00AF512F"/>
    <w:rsid w:val="00B01C8A"/>
    <w:rsid w:val="00B0250A"/>
    <w:rsid w:val="00B106A1"/>
    <w:rsid w:val="00B10DB2"/>
    <w:rsid w:val="00B1760B"/>
    <w:rsid w:val="00B234C7"/>
    <w:rsid w:val="00B32308"/>
    <w:rsid w:val="00B468AE"/>
    <w:rsid w:val="00B565E8"/>
    <w:rsid w:val="00B57DDE"/>
    <w:rsid w:val="00B57E97"/>
    <w:rsid w:val="00B6221C"/>
    <w:rsid w:val="00B707EC"/>
    <w:rsid w:val="00B71FE0"/>
    <w:rsid w:val="00B727C6"/>
    <w:rsid w:val="00B73017"/>
    <w:rsid w:val="00B76466"/>
    <w:rsid w:val="00B767BC"/>
    <w:rsid w:val="00B830DF"/>
    <w:rsid w:val="00B837C5"/>
    <w:rsid w:val="00B865DA"/>
    <w:rsid w:val="00BA49DF"/>
    <w:rsid w:val="00BA4B11"/>
    <w:rsid w:val="00BA78EC"/>
    <w:rsid w:val="00BB167B"/>
    <w:rsid w:val="00BB593E"/>
    <w:rsid w:val="00BC0E4B"/>
    <w:rsid w:val="00BC1389"/>
    <w:rsid w:val="00BC3C16"/>
    <w:rsid w:val="00BC5298"/>
    <w:rsid w:val="00BD0725"/>
    <w:rsid w:val="00BD0C7D"/>
    <w:rsid w:val="00BD2273"/>
    <w:rsid w:val="00BD292D"/>
    <w:rsid w:val="00BD61A7"/>
    <w:rsid w:val="00BD6570"/>
    <w:rsid w:val="00BD7C80"/>
    <w:rsid w:val="00BE275C"/>
    <w:rsid w:val="00BE507A"/>
    <w:rsid w:val="00BE532F"/>
    <w:rsid w:val="00BF3253"/>
    <w:rsid w:val="00BF38FE"/>
    <w:rsid w:val="00BF52EB"/>
    <w:rsid w:val="00BF60B5"/>
    <w:rsid w:val="00BF7C27"/>
    <w:rsid w:val="00C04554"/>
    <w:rsid w:val="00C05522"/>
    <w:rsid w:val="00C0639F"/>
    <w:rsid w:val="00C11252"/>
    <w:rsid w:val="00C15DEA"/>
    <w:rsid w:val="00C22294"/>
    <w:rsid w:val="00C22BA4"/>
    <w:rsid w:val="00C266AD"/>
    <w:rsid w:val="00C30AA0"/>
    <w:rsid w:val="00C31478"/>
    <w:rsid w:val="00C3351D"/>
    <w:rsid w:val="00C42EEA"/>
    <w:rsid w:val="00C44676"/>
    <w:rsid w:val="00C47162"/>
    <w:rsid w:val="00C522CD"/>
    <w:rsid w:val="00C55B29"/>
    <w:rsid w:val="00C61B19"/>
    <w:rsid w:val="00C62252"/>
    <w:rsid w:val="00C716DD"/>
    <w:rsid w:val="00C73769"/>
    <w:rsid w:val="00C74D54"/>
    <w:rsid w:val="00C76C3C"/>
    <w:rsid w:val="00C923B6"/>
    <w:rsid w:val="00C92B9C"/>
    <w:rsid w:val="00C95F4B"/>
    <w:rsid w:val="00C96C5D"/>
    <w:rsid w:val="00C9731A"/>
    <w:rsid w:val="00CA042B"/>
    <w:rsid w:val="00CA275C"/>
    <w:rsid w:val="00CA3947"/>
    <w:rsid w:val="00CB1938"/>
    <w:rsid w:val="00CB2105"/>
    <w:rsid w:val="00CB665A"/>
    <w:rsid w:val="00CD1D72"/>
    <w:rsid w:val="00CD5905"/>
    <w:rsid w:val="00CE0D38"/>
    <w:rsid w:val="00CE2072"/>
    <w:rsid w:val="00CE2D60"/>
    <w:rsid w:val="00CE710A"/>
    <w:rsid w:val="00CF236C"/>
    <w:rsid w:val="00CF5188"/>
    <w:rsid w:val="00CF68AA"/>
    <w:rsid w:val="00D00F6A"/>
    <w:rsid w:val="00D03B26"/>
    <w:rsid w:val="00D04B9D"/>
    <w:rsid w:val="00D104AA"/>
    <w:rsid w:val="00D13107"/>
    <w:rsid w:val="00D14E72"/>
    <w:rsid w:val="00D150A1"/>
    <w:rsid w:val="00D154B5"/>
    <w:rsid w:val="00D223BC"/>
    <w:rsid w:val="00D2245F"/>
    <w:rsid w:val="00D22A52"/>
    <w:rsid w:val="00D32806"/>
    <w:rsid w:val="00D33CCC"/>
    <w:rsid w:val="00D366A0"/>
    <w:rsid w:val="00D403E9"/>
    <w:rsid w:val="00D42FA3"/>
    <w:rsid w:val="00D441A9"/>
    <w:rsid w:val="00D47168"/>
    <w:rsid w:val="00D507AF"/>
    <w:rsid w:val="00D51E12"/>
    <w:rsid w:val="00D57EA6"/>
    <w:rsid w:val="00D61B2D"/>
    <w:rsid w:val="00D65047"/>
    <w:rsid w:val="00D654EE"/>
    <w:rsid w:val="00D67159"/>
    <w:rsid w:val="00D70504"/>
    <w:rsid w:val="00D72A60"/>
    <w:rsid w:val="00D72BF3"/>
    <w:rsid w:val="00D72FC1"/>
    <w:rsid w:val="00D75009"/>
    <w:rsid w:val="00D82973"/>
    <w:rsid w:val="00D82A1F"/>
    <w:rsid w:val="00DA6B0A"/>
    <w:rsid w:val="00DB06F7"/>
    <w:rsid w:val="00DB0791"/>
    <w:rsid w:val="00DB4618"/>
    <w:rsid w:val="00DB68E5"/>
    <w:rsid w:val="00DB6ABB"/>
    <w:rsid w:val="00DC0794"/>
    <w:rsid w:val="00DC7402"/>
    <w:rsid w:val="00DD1420"/>
    <w:rsid w:val="00DD149C"/>
    <w:rsid w:val="00DD40F5"/>
    <w:rsid w:val="00DD55DB"/>
    <w:rsid w:val="00DD6513"/>
    <w:rsid w:val="00DE518F"/>
    <w:rsid w:val="00DE7ED5"/>
    <w:rsid w:val="00DF1D67"/>
    <w:rsid w:val="00E02253"/>
    <w:rsid w:val="00E02459"/>
    <w:rsid w:val="00E1113F"/>
    <w:rsid w:val="00E13FB7"/>
    <w:rsid w:val="00E1642C"/>
    <w:rsid w:val="00E1738E"/>
    <w:rsid w:val="00E20F7E"/>
    <w:rsid w:val="00E220A6"/>
    <w:rsid w:val="00E2575C"/>
    <w:rsid w:val="00E41D4D"/>
    <w:rsid w:val="00E4627E"/>
    <w:rsid w:val="00E5024C"/>
    <w:rsid w:val="00E51F76"/>
    <w:rsid w:val="00E537DE"/>
    <w:rsid w:val="00E56D68"/>
    <w:rsid w:val="00E57404"/>
    <w:rsid w:val="00E637D1"/>
    <w:rsid w:val="00E650B5"/>
    <w:rsid w:val="00E67B12"/>
    <w:rsid w:val="00E7304B"/>
    <w:rsid w:val="00E73366"/>
    <w:rsid w:val="00E77422"/>
    <w:rsid w:val="00E80334"/>
    <w:rsid w:val="00E8428D"/>
    <w:rsid w:val="00E84565"/>
    <w:rsid w:val="00E84D99"/>
    <w:rsid w:val="00E84F54"/>
    <w:rsid w:val="00E86E96"/>
    <w:rsid w:val="00E873BC"/>
    <w:rsid w:val="00E9142E"/>
    <w:rsid w:val="00E9658C"/>
    <w:rsid w:val="00E9667B"/>
    <w:rsid w:val="00E97057"/>
    <w:rsid w:val="00EA4564"/>
    <w:rsid w:val="00EA6337"/>
    <w:rsid w:val="00EA71B6"/>
    <w:rsid w:val="00EA7728"/>
    <w:rsid w:val="00EB2003"/>
    <w:rsid w:val="00EB3D9B"/>
    <w:rsid w:val="00EC1B2F"/>
    <w:rsid w:val="00EC2DE5"/>
    <w:rsid w:val="00ED2DCF"/>
    <w:rsid w:val="00ED6805"/>
    <w:rsid w:val="00ED6B2D"/>
    <w:rsid w:val="00EE12CF"/>
    <w:rsid w:val="00EE226F"/>
    <w:rsid w:val="00EE463A"/>
    <w:rsid w:val="00EE4AB5"/>
    <w:rsid w:val="00EE5AB1"/>
    <w:rsid w:val="00EE77A0"/>
    <w:rsid w:val="00EF684D"/>
    <w:rsid w:val="00F014CD"/>
    <w:rsid w:val="00F03DF2"/>
    <w:rsid w:val="00F05529"/>
    <w:rsid w:val="00F05686"/>
    <w:rsid w:val="00F073A5"/>
    <w:rsid w:val="00F148B2"/>
    <w:rsid w:val="00F14F76"/>
    <w:rsid w:val="00F16B71"/>
    <w:rsid w:val="00F17BC0"/>
    <w:rsid w:val="00F21871"/>
    <w:rsid w:val="00F24813"/>
    <w:rsid w:val="00F24916"/>
    <w:rsid w:val="00F24A1F"/>
    <w:rsid w:val="00F3020F"/>
    <w:rsid w:val="00F304D7"/>
    <w:rsid w:val="00F31398"/>
    <w:rsid w:val="00F33A09"/>
    <w:rsid w:val="00F36D97"/>
    <w:rsid w:val="00F36E26"/>
    <w:rsid w:val="00F3734D"/>
    <w:rsid w:val="00F40901"/>
    <w:rsid w:val="00F43A9E"/>
    <w:rsid w:val="00F4568B"/>
    <w:rsid w:val="00F47EF9"/>
    <w:rsid w:val="00F54525"/>
    <w:rsid w:val="00F54B23"/>
    <w:rsid w:val="00F55D6E"/>
    <w:rsid w:val="00F575F4"/>
    <w:rsid w:val="00F62FA9"/>
    <w:rsid w:val="00F64904"/>
    <w:rsid w:val="00F67788"/>
    <w:rsid w:val="00F714CE"/>
    <w:rsid w:val="00F71AD5"/>
    <w:rsid w:val="00F728FA"/>
    <w:rsid w:val="00F77060"/>
    <w:rsid w:val="00F83BB6"/>
    <w:rsid w:val="00F83EA7"/>
    <w:rsid w:val="00F90350"/>
    <w:rsid w:val="00F94BFF"/>
    <w:rsid w:val="00F97587"/>
    <w:rsid w:val="00FA2654"/>
    <w:rsid w:val="00FA3178"/>
    <w:rsid w:val="00FA3E0F"/>
    <w:rsid w:val="00FA75E8"/>
    <w:rsid w:val="00FA7C9B"/>
    <w:rsid w:val="00FC1AC4"/>
    <w:rsid w:val="00FC26EA"/>
    <w:rsid w:val="00FC2709"/>
    <w:rsid w:val="00FD0F78"/>
    <w:rsid w:val="00FD1DBB"/>
    <w:rsid w:val="00FD4859"/>
    <w:rsid w:val="00FE6154"/>
    <w:rsid w:val="00FF0843"/>
    <w:rsid w:val="00FF0C8C"/>
    <w:rsid w:val="00FF20D4"/>
    <w:rsid w:val="00F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C40DD7"/>
  <w15:chartTrackingRefBased/>
  <w15:docId w15:val="{69C5F274-AF74-42B5-A25E-7E37324E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20D4"/>
    <w:pPr>
      <w:keepNext/>
      <w:keepLines/>
      <w:numPr>
        <w:numId w:val="4"/>
      </w:numPr>
      <w:spacing w:before="240"/>
      <w:outlineLvl w:val="0"/>
    </w:pPr>
    <w:rPr>
      <w:rFonts w:eastAsiaTheme="majorEastAsia" w:cstheme="majorBidi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20D4"/>
    <w:pPr>
      <w:keepNext/>
      <w:keepLines/>
      <w:numPr>
        <w:numId w:val="13"/>
      </w:numPr>
      <w:spacing w:before="40"/>
      <w:outlineLvl w:val="1"/>
    </w:pPr>
    <w:rPr>
      <w:rFonts w:eastAsiaTheme="majorEastAsia" w:cstheme="majorBidi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78DC"/>
    <w:pPr>
      <w:keepNext/>
      <w:keepLines/>
      <w:numPr>
        <w:numId w:val="18"/>
      </w:numPr>
      <w:spacing w:before="4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7815"/>
    <w:pPr>
      <w:keepNext/>
      <w:keepLines/>
      <w:numPr>
        <w:numId w:val="1"/>
      </w:numPr>
      <w:spacing w:before="40"/>
      <w:outlineLvl w:val="3"/>
    </w:pPr>
    <w:rPr>
      <w:rFonts w:eastAsiaTheme="majorEastAsia" w:cstheme="majorBidi"/>
      <w:b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6A1"/>
    <w:pPr>
      <w:keepNext/>
      <w:keepLines/>
      <w:numPr>
        <w:numId w:val="2"/>
      </w:numPr>
      <w:spacing w:before="40"/>
      <w:outlineLvl w:val="4"/>
    </w:pPr>
    <w:rPr>
      <w:rFonts w:eastAsiaTheme="majorEastAsi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7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78C"/>
  </w:style>
  <w:style w:type="paragraph" w:styleId="Footer">
    <w:name w:val="footer"/>
    <w:basedOn w:val="Normal"/>
    <w:link w:val="FooterChar"/>
    <w:uiPriority w:val="99"/>
    <w:unhideWhenUsed/>
    <w:rsid w:val="003857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78C"/>
  </w:style>
  <w:style w:type="paragraph" w:styleId="ListParagraph">
    <w:name w:val="List Paragraph"/>
    <w:basedOn w:val="Normal"/>
    <w:uiPriority w:val="34"/>
    <w:qFormat/>
    <w:rsid w:val="000345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E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E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66A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02253"/>
    <w:rPr>
      <w:rFonts w:eastAsiaTheme="majorEastAsia" w:cstheme="majorBidi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80622"/>
    <w:pPr>
      <w:numPr>
        <w:numId w:val="0"/>
      </w:numPr>
      <w:spacing w:line="259" w:lineRule="auto"/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241DD9"/>
    <w:rPr>
      <w:rFonts w:eastAsiaTheme="majorEastAsia" w:cstheme="majorBidi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ED6805"/>
    <w:pPr>
      <w:tabs>
        <w:tab w:val="left" w:pos="440"/>
        <w:tab w:val="right" w:leader="dot" w:pos="9350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ED6805"/>
    <w:pPr>
      <w:tabs>
        <w:tab w:val="left" w:pos="660"/>
        <w:tab w:val="right" w:leader="dot" w:pos="9350"/>
      </w:tabs>
      <w:ind w:left="216"/>
    </w:pPr>
  </w:style>
  <w:style w:type="character" w:customStyle="1" w:styleId="Heading3Char">
    <w:name w:val="Heading 3 Char"/>
    <w:basedOn w:val="DefaultParagraphFont"/>
    <w:link w:val="Heading3"/>
    <w:uiPriority w:val="9"/>
    <w:rsid w:val="007678DC"/>
    <w:rPr>
      <w:rFonts w:eastAsiaTheme="majorEastAsia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E7815"/>
    <w:rPr>
      <w:rFonts w:eastAsiaTheme="majorEastAsia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06A1"/>
    <w:rPr>
      <w:rFonts w:eastAsiaTheme="majorEastAsia" w:cstheme="majorBidi"/>
      <w:b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ED6805"/>
    <w:pPr>
      <w:tabs>
        <w:tab w:val="left" w:pos="880"/>
        <w:tab w:val="right" w:leader="dot" w:pos="9350"/>
      </w:tabs>
      <w:ind w:left="446"/>
    </w:pPr>
  </w:style>
  <w:style w:type="paragraph" w:styleId="NoSpacing">
    <w:name w:val="No Spacing"/>
    <w:uiPriority w:val="1"/>
    <w:qFormat/>
    <w:rsid w:val="00FF3537"/>
  </w:style>
  <w:style w:type="paragraph" w:styleId="EndnoteText">
    <w:name w:val="endnote text"/>
    <w:basedOn w:val="Normal"/>
    <w:link w:val="EndnoteTextChar"/>
    <w:uiPriority w:val="99"/>
    <w:semiHidden/>
    <w:unhideWhenUsed/>
    <w:rsid w:val="0093051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051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30519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2F5C64"/>
  </w:style>
  <w:style w:type="character" w:styleId="CommentReference">
    <w:name w:val="annotation reference"/>
    <w:basedOn w:val="DefaultParagraphFont"/>
    <w:uiPriority w:val="99"/>
    <w:semiHidden/>
    <w:unhideWhenUsed/>
    <w:rsid w:val="00F33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A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A0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25F95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054C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5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PlainTable11">
    <w:name w:val="Plain Table 11"/>
    <w:basedOn w:val="TableNormal"/>
    <w:uiPriority w:val="41"/>
    <w:rsid w:val="005F0572"/>
    <w:rPr>
      <w:lang w:bidi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1B7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>
  <b:Source>
    <b:Tag>Con</b:Tag>
    <b:SourceType>ConferenceProceedings</b:SourceType>
    <b:Guid>{9A22D242-185A-4900-BC75-C228C12F207A}</b:Guid>
    <b:Author>
      <b:Author>
        <b:Corporate>Controlled Substance Act</b:Corporate>
      </b:Author>
    </b:Author>
    <b:Pages>http://www.deadiversion.usdoj.gov/schedules/</b:Pages>
    <b:RefOrder>1</b:RefOrder>
  </b:Source>
</b:Sources>
</file>

<file path=customXml/itemProps1.xml><?xml version="1.0" encoding="utf-8"?>
<ds:datastoreItem xmlns:ds="http://schemas.openxmlformats.org/officeDocument/2006/customXml" ds:itemID="{5CA5A3B2-A700-4464-9668-7481EBA0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4288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Schachtschneider, Amanda (amanda@uidaho.edu)</dc:creator>
  <cp:keywords/>
  <dc:description/>
  <cp:lastModifiedBy>Harris, Audrey (ajharris@uidaho.edu)</cp:lastModifiedBy>
  <cp:revision>2</cp:revision>
  <cp:lastPrinted>2016-12-07T16:57:00Z</cp:lastPrinted>
  <dcterms:created xsi:type="dcterms:W3CDTF">2018-02-13T20:59:00Z</dcterms:created>
  <dcterms:modified xsi:type="dcterms:W3CDTF">2018-02-13T20:59:00Z</dcterms:modified>
</cp:coreProperties>
</file>