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4F826" w14:textId="77777777" w:rsidR="0056654D" w:rsidRDefault="00B25CDE">
      <w:pPr>
        <w:pStyle w:val="Heading1"/>
        <w:spacing w:line="326" w:lineRule="auto"/>
        <w:ind w:left="1636" w:right="1753"/>
      </w:pPr>
      <w:r>
        <w:rPr>
          <w:noProof/>
        </w:rPr>
        <w:drawing>
          <wp:anchor distT="0" distB="0" distL="0" distR="0" simplePos="0" relativeHeight="251661312" behindDoc="0" locked="0" layoutInCell="1" allowOverlap="1" wp14:anchorId="59CD3CA6" wp14:editId="319C82C6">
            <wp:simplePos x="0" y="0"/>
            <wp:positionH relativeFrom="page">
              <wp:posOffset>914400</wp:posOffset>
            </wp:positionH>
            <wp:positionV relativeFrom="paragraph">
              <wp:posOffset>12538</wp:posOffset>
            </wp:positionV>
            <wp:extent cx="797813" cy="79781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97813" cy="797814"/>
                    </a:xfrm>
                    <a:prstGeom prst="rect">
                      <a:avLst/>
                    </a:prstGeom>
                  </pic:spPr>
                </pic:pic>
              </a:graphicData>
            </a:graphic>
          </wp:anchor>
        </w:drawing>
      </w:r>
      <w:r>
        <w:rPr>
          <w:color w:val="010101"/>
          <w:w w:val="105"/>
        </w:rPr>
        <w:t>University of Idaho Institutional Review Board Standard Operating Procedures Manual</w:t>
      </w:r>
    </w:p>
    <w:p w14:paraId="5D20B09B" w14:textId="77777777" w:rsidR="0056654D" w:rsidRDefault="0056654D">
      <w:pPr>
        <w:pStyle w:val="BodyText"/>
        <w:rPr>
          <w:b/>
          <w:sz w:val="20"/>
        </w:rPr>
      </w:pPr>
    </w:p>
    <w:p w14:paraId="4A240C3D" w14:textId="77777777" w:rsidR="0056654D" w:rsidRDefault="0056654D">
      <w:pPr>
        <w:pStyle w:val="BodyText"/>
        <w:rPr>
          <w:b/>
          <w:sz w:val="20"/>
        </w:rPr>
      </w:pPr>
    </w:p>
    <w:p w14:paraId="63F66982" w14:textId="3BF1D2B8" w:rsidR="0056654D" w:rsidRDefault="0056654D">
      <w:pPr>
        <w:pStyle w:val="BodyText"/>
        <w:rPr>
          <w:b/>
          <w:sz w:val="20"/>
        </w:rPr>
      </w:pPr>
    </w:p>
    <w:p w14:paraId="472DA706" w14:textId="3D6D6447" w:rsidR="00FE1A5B" w:rsidRDefault="00FE1A5B">
      <w:pPr>
        <w:pStyle w:val="BodyText"/>
        <w:rPr>
          <w:b/>
          <w:sz w:val="20"/>
        </w:rPr>
      </w:pPr>
    </w:p>
    <w:tbl>
      <w:tblPr>
        <w:tblStyle w:val="TableGrid"/>
        <w:tblW w:w="0" w:type="auto"/>
        <w:tblLook w:val="04A0" w:firstRow="1" w:lastRow="0" w:firstColumn="1" w:lastColumn="0" w:noHBand="0" w:noVBand="1"/>
      </w:tblPr>
      <w:tblGrid>
        <w:gridCol w:w="4785"/>
        <w:gridCol w:w="4785"/>
      </w:tblGrid>
      <w:tr w:rsidR="00FE1A5B" w14:paraId="0A873641" w14:textId="77777777" w:rsidTr="00FE1A5B">
        <w:tc>
          <w:tcPr>
            <w:tcW w:w="4785" w:type="dxa"/>
          </w:tcPr>
          <w:p w14:paraId="4E8032B7" w14:textId="45DC34CE" w:rsidR="00FE1A5B" w:rsidRDefault="00FE1A5B">
            <w:pPr>
              <w:pStyle w:val="BodyText"/>
              <w:rPr>
                <w:b/>
                <w:sz w:val="20"/>
              </w:rPr>
            </w:pPr>
            <w:r>
              <w:rPr>
                <w:b/>
                <w:sz w:val="20"/>
              </w:rPr>
              <w:t>Procedure and Guideline</w:t>
            </w:r>
          </w:p>
        </w:tc>
        <w:tc>
          <w:tcPr>
            <w:tcW w:w="4785" w:type="dxa"/>
          </w:tcPr>
          <w:p w14:paraId="27267C9C" w14:textId="0C730A9B" w:rsidR="00FE1A5B" w:rsidRDefault="00FE1A5B">
            <w:pPr>
              <w:pStyle w:val="BodyText"/>
              <w:rPr>
                <w:b/>
                <w:sz w:val="20"/>
              </w:rPr>
            </w:pPr>
            <w:r>
              <w:rPr>
                <w:b/>
                <w:sz w:val="20"/>
              </w:rPr>
              <w:t xml:space="preserve">Last Revised:  </w:t>
            </w:r>
            <w:r w:rsidR="00F11FA7">
              <w:rPr>
                <w:b/>
                <w:sz w:val="20"/>
              </w:rPr>
              <w:t>July 5, 2022</w:t>
            </w:r>
          </w:p>
        </w:tc>
      </w:tr>
      <w:tr w:rsidR="00FE1A5B" w14:paraId="3030F829" w14:textId="77777777" w:rsidTr="00FE1A5B">
        <w:tc>
          <w:tcPr>
            <w:tcW w:w="4785" w:type="dxa"/>
          </w:tcPr>
          <w:p w14:paraId="00391D54" w14:textId="49B48A69" w:rsidR="00FE1A5B" w:rsidRDefault="00FE1A5B">
            <w:pPr>
              <w:pStyle w:val="BodyText"/>
              <w:rPr>
                <w:b/>
                <w:sz w:val="20"/>
              </w:rPr>
            </w:pPr>
            <w:r>
              <w:rPr>
                <w:b/>
                <w:sz w:val="20"/>
              </w:rPr>
              <w:t>Post Approval Monitoring</w:t>
            </w:r>
          </w:p>
        </w:tc>
        <w:tc>
          <w:tcPr>
            <w:tcW w:w="4785" w:type="dxa"/>
          </w:tcPr>
          <w:p w14:paraId="2A26DE75" w14:textId="20CD1B25" w:rsidR="00FE1A5B" w:rsidRDefault="00FE1A5B">
            <w:pPr>
              <w:pStyle w:val="BodyText"/>
              <w:rPr>
                <w:b/>
                <w:sz w:val="20"/>
              </w:rPr>
            </w:pPr>
            <w:r>
              <w:rPr>
                <w:b/>
                <w:sz w:val="20"/>
              </w:rPr>
              <w:t>Effective Date:</w:t>
            </w:r>
            <w:r w:rsidR="009722E2">
              <w:rPr>
                <w:b/>
                <w:sz w:val="20"/>
              </w:rPr>
              <w:t xml:space="preserve">  August 2, 2022</w:t>
            </w:r>
          </w:p>
        </w:tc>
      </w:tr>
    </w:tbl>
    <w:p w14:paraId="22DEED4A" w14:textId="2EF722BE" w:rsidR="0056654D" w:rsidRDefault="0056654D">
      <w:pPr>
        <w:pStyle w:val="BodyText"/>
        <w:spacing w:line="20" w:lineRule="exact"/>
        <w:ind w:left="115"/>
        <w:rPr>
          <w:sz w:val="2"/>
        </w:rPr>
      </w:pPr>
    </w:p>
    <w:p w14:paraId="5D42047A" w14:textId="77777777" w:rsidR="0056654D" w:rsidRDefault="0056654D">
      <w:pPr>
        <w:pStyle w:val="BodyText"/>
        <w:rPr>
          <w:sz w:val="20"/>
        </w:rPr>
      </w:pPr>
    </w:p>
    <w:p w14:paraId="48B298EE" w14:textId="1D6FEB54" w:rsidR="0056654D" w:rsidRDefault="00B25CDE">
      <w:pPr>
        <w:pStyle w:val="Heading1"/>
        <w:spacing w:before="257"/>
        <w:ind w:firstLine="0"/>
      </w:pPr>
      <w:r>
        <w:rPr>
          <w:color w:val="010101"/>
          <w:u w:val="thick" w:color="000000"/>
        </w:rPr>
        <w:t xml:space="preserve">IRB Procedures: </w:t>
      </w:r>
      <w:r w:rsidR="00DE515A">
        <w:rPr>
          <w:color w:val="010101"/>
          <w:u w:val="thick" w:color="000000"/>
        </w:rPr>
        <w:t>Post Approval Monitoring</w:t>
      </w:r>
    </w:p>
    <w:p w14:paraId="06A1CFC9" w14:textId="77777777" w:rsidR="0056654D" w:rsidRDefault="0056654D">
      <w:pPr>
        <w:pStyle w:val="BodyText"/>
        <w:rPr>
          <w:b/>
          <w:sz w:val="30"/>
        </w:rPr>
      </w:pPr>
    </w:p>
    <w:p w14:paraId="08AD0606" w14:textId="77777777" w:rsidR="0056654D" w:rsidRDefault="0056654D">
      <w:pPr>
        <w:pStyle w:val="BodyText"/>
        <w:spacing w:before="5"/>
        <w:rPr>
          <w:b/>
          <w:sz w:val="31"/>
        </w:rPr>
      </w:pPr>
    </w:p>
    <w:p w14:paraId="70CCC9E7" w14:textId="05DE12FC" w:rsidR="0056654D" w:rsidRDefault="00B25CDE">
      <w:pPr>
        <w:pStyle w:val="Heading2"/>
        <w:numPr>
          <w:ilvl w:val="0"/>
          <w:numId w:val="2"/>
        </w:numPr>
        <w:tabs>
          <w:tab w:val="left" w:pos="843"/>
          <w:tab w:val="left" w:pos="844"/>
        </w:tabs>
      </w:pPr>
      <w:r>
        <w:rPr>
          <w:color w:val="010101"/>
        </w:rPr>
        <w:t xml:space="preserve">Purpose </w:t>
      </w:r>
    </w:p>
    <w:p w14:paraId="7B6A85D2" w14:textId="77777777" w:rsidR="0056654D" w:rsidRDefault="0056654D" w:rsidP="00FE1A5B">
      <w:pPr>
        <w:pStyle w:val="BodyText"/>
        <w:spacing w:before="10"/>
        <w:rPr>
          <w:b/>
        </w:rPr>
      </w:pPr>
    </w:p>
    <w:p w14:paraId="4A655E1A" w14:textId="53649C7F" w:rsidR="00DE515A" w:rsidRDefault="00992D25" w:rsidP="00FE1A5B">
      <w:pPr>
        <w:ind w:left="840" w:firstLine="4"/>
        <w:rPr>
          <w:b/>
          <w:color w:val="010101"/>
          <w:sz w:val="19"/>
        </w:rPr>
      </w:pPr>
      <w:r>
        <w:rPr>
          <w:b/>
          <w:color w:val="010101"/>
          <w:sz w:val="19"/>
        </w:rPr>
        <w:t>To</w:t>
      </w:r>
      <w:r w:rsidR="00B25CDE">
        <w:rPr>
          <w:b/>
          <w:color w:val="010101"/>
          <w:sz w:val="19"/>
        </w:rPr>
        <w:t xml:space="preserve"> ensure that approved or certified research protocols are </w:t>
      </w:r>
      <w:r>
        <w:rPr>
          <w:b/>
          <w:color w:val="010101"/>
          <w:sz w:val="19"/>
        </w:rPr>
        <w:t xml:space="preserve">ethically </w:t>
      </w:r>
      <w:r w:rsidR="00DE515A">
        <w:rPr>
          <w:b/>
          <w:color w:val="010101"/>
          <w:sz w:val="19"/>
        </w:rPr>
        <w:t>protecting human research participants, compliant with policy, procedures, and regulations, and as a means of providing education</w:t>
      </w:r>
      <w:r w:rsidR="002766FF">
        <w:rPr>
          <w:b/>
          <w:color w:val="010101"/>
          <w:sz w:val="19"/>
        </w:rPr>
        <w:t xml:space="preserve"> to researchers</w:t>
      </w:r>
      <w:r w:rsidR="00DE515A">
        <w:rPr>
          <w:b/>
          <w:color w:val="010101"/>
          <w:sz w:val="19"/>
        </w:rPr>
        <w:t>:</w:t>
      </w:r>
    </w:p>
    <w:p w14:paraId="2E05AF71" w14:textId="2B2847F6" w:rsidR="00DE515A" w:rsidRDefault="00DE515A" w:rsidP="00FE1A5B">
      <w:pPr>
        <w:ind w:left="840" w:firstLine="4"/>
        <w:rPr>
          <w:b/>
          <w:color w:val="010101"/>
          <w:sz w:val="19"/>
        </w:rPr>
      </w:pPr>
    </w:p>
    <w:p w14:paraId="435D6DE7" w14:textId="2D21FA04" w:rsidR="00DE515A" w:rsidRPr="00D141B3" w:rsidRDefault="00DE515A" w:rsidP="00FE1A5B">
      <w:pPr>
        <w:ind w:left="840" w:firstLine="4"/>
        <w:rPr>
          <w:bCs/>
          <w:color w:val="010101"/>
          <w:sz w:val="20"/>
          <w:szCs w:val="20"/>
        </w:rPr>
      </w:pPr>
      <w:r w:rsidRPr="00D141B3">
        <w:rPr>
          <w:bCs/>
          <w:color w:val="010101"/>
          <w:sz w:val="20"/>
          <w:szCs w:val="20"/>
        </w:rPr>
        <w:t>The Post Approval Monitoring (PAM) program will provide additional oversight</w:t>
      </w:r>
      <w:r w:rsidR="00D141B3" w:rsidRPr="00D141B3">
        <w:rPr>
          <w:bCs/>
          <w:color w:val="010101"/>
          <w:sz w:val="20"/>
          <w:szCs w:val="20"/>
        </w:rPr>
        <w:t>, quality assurance,</w:t>
      </w:r>
      <w:r w:rsidRPr="00D141B3">
        <w:rPr>
          <w:bCs/>
          <w:color w:val="010101"/>
          <w:sz w:val="20"/>
          <w:szCs w:val="20"/>
        </w:rPr>
        <w:t xml:space="preserve"> and education during human subjects’ research projects.  Designated ORA staff </w:t>
      </w:r>
      <w:r w:rsidR="00D920B0" w:rsidRPr="00D141B3">
        <w:rPr>
          <w:bCs/>
          <w:color w:val="010101"/>
          <w:sz w:val="20"/>
          <w:szCs w:val="20"/>
        </w:rPr>
        <w:t>intends to</w:t>
      </w:r>
      <w:r w:rsidRPr="00D141B3">
        <w:rPr>
          <w:bCs/>
          <w:color w:val="010101"/>
          <w:sz w:val="20"/>
          <w:szCs w:val="20"/>
        </w:rPr>
        <w:t xml:space="preserve"> conduct PAM reviews</w:t>
      </w:r>
      <w:r w:rsidR="00D920B0" w:rsidRPr="00D141B3">
        <w:rPr>
          <w:bCs/>
          <w:color w:val="010101"/>
          <w:sz w:val="20"/>
          <w:szCs w:val="20"/>
        </w:rPr>
        <w:t xml:space="preserve"> of no less than </w:t>
      </w:r>
      <w:r w:rsidR="001A3459">
        <w:rPr>
          <w:bCs/>
          <w:color w:val="010101"/>
          <w:sz w:val="20"/>
          <w:szCs w:val="20"/>
        </w:rPr>
        <w:t>three</w:t>
      </w:r>
      <w:r w:rsidR="00D920B0" w:rsidRPr="00D141B3">
        <w:rPr>
          <w:bCs/>
          <w:color w:val="010101"/>
          <w:sz w:val="20"/>
          <w:szCs w:val="20"/>
        </w:rPr>
        <w:t xml:space="preserve"> protocols per year</w:t>
      </w:r>
      <w:r w:rsidR="00377FBA">
        <w:rPr>
          <w:bCs/>
          <w:color w:val="010101"/>
          <w:sz w:val="20"/>
          <w:szCs w:val="20"/>
        </w:rPr>
        <w:t>, usually from the categories of 3</w:t>
      </w:r>
      <w:r w:rsidR="008B5949">
        <w:rPr>
          <w:bCs/>
          <w:color w:val="010101"/>
          <w:sz w:val="20"/>
          <w:szCs w:val="20"/>
        </w:rPr>
        <w:t>(</w:t>
      </w:r>
      <w:r w:rsidR="00377FBA">
        <w:rPr>
          <w:bCs/>
          <w:color w:val="010101"/>
          <w:sz w:val="20"/>
          <w:szCs w:val="20"/>
        </w:rPr>
        <w:t>a</w:t>
      </w:r>
      <w:r w:rsidR="008B5949">
        <w:rPr>
          <w:bCs/>
          <w:color w:val="010101"/>
          <w:sz w:val="20"/>
          <w:szCs w:val="20"/>
        </w:rPr>
        <w:t>)</w:t>
      </w:r>
      <w:r w:rsidR="00377FBA">
        <w:rPr>
          <w:bCs/>
          <w:color w:val="010101"/>
          <w:sz w:val="20"/>
          <w:szCs w:val="20"/>
        </w:rPr>
        <w:t xml:space="preserve">, </w:t>
      </w:r>
      <w:r w:rsidR="008B5949">
        <w:rPr>
          <w:bCs/>
          <w:color w:val="010101"/>
          <w:sz w:val="20"/>
          <w:szCs w:val="20"/>
        </w:rPr>
        <w:t>(</w:t>
      </w:r>
      <w:r w:rsidR="00377FBA">
        <w:rPr>
          <w:bCs/>
          <w:color w:val="010101"/>
          <w:sz w:val="20"/>
          <w:szCs w:val="20"/>
        </w:rPr>
        <w:t>b</w:t>
      </w:r>
      <w:r w:rsidR="008B5949">
        <w:rPr>
          <w:bCs/>
          <w:color w:val="010101"/>
          <w:sz w:val="20"/>
          <w:szCs w:val="20"/>
        </w:rPr>
        <w:t>)</w:t>
      </w:r>
      <w:r w:rsidR="00377FBA">
        <w:rPr>
          <w:bCs/>
          <w:color w:val="010101"/>
          <w:sz w:val="20"/>
          <w:szCs w:val="20"/>
        </w:rPr>
        <w:t xml:space="preserve">, and </w:t>
      </w:r>
      <w:r w:rsidR="008B5949">
        <w:rPr>
          <w:bCs/>
          <w:color w:val="010101"/>
          <w:sz w:val="20"/>
          <w:szCs w:val="20"/>
        </w:rPr>
        <w:t>(</w:t>
      </w:r>
      <w:r w:rsidR="00377FBA">
        <w:rPr>
          <w:bCs/>
          <w:color w:val="010101"/>
          <w:sz w:val="20"/>
          <w:szCs w:val="20"/>
        </w:rPr>
        <w:t>c</w:t>
      </w:r>
      <w:r w:rsidR="008B5949">
        <w:rPr>
          <w:bCs/>
          <w:color w:val="010101"/>
          <w:sz w:val="20"/>
          <w:szCs w:val="20"/>
        </w:rPr>
        <w:t>)</w:t>
      </w:r>
      <w:r w:rsidR="00377FBA">
        <w:rPr>
          <w:bCs/>
          <w:color w:val="010101"/>
          <w:sz w:val="20"/>
          <w:szCs w:val="20"/>
        </w:rPr>
        <w:t>, below</w:t>
      </w:r>
      <w:r w:rsidRPr="00D141B3">
        <w:rPr>
          <w:bCs/>
          <w:color w:val="010101"/>
          <w:sz w:val="20"/>
          <w:szCs w:val="20"/>
        </w:rPr>
        <w:t xml:space="preserve">. </w:t>
      </w:r>
      <w:r w:rsidR="00D920B0" w:rsidRPr="00D141B3">
        <w:rPr>
          <w:bCs/>
          <w:color w:val="010101"/>
          <w:sz w:val="20"/>
          <w:szCs w:val="20"/>
        </w:rPr>
        <w:t xml:space="preserve">Protocols </w:t>
      </w:r>
      <w:r w:rsidR="00377FBA">
        <w:rPr>
          <w:bCs/>
          <w:color w:val="010101"/>
          <w:sz w:val="20"/>
          <w:szCs w:val="20"/>
        </w:rPr>
        <w:t>from categor</w:t>
      </w:r>
      <w:r w:rsidR="00A3303C">
        <w:rPr>
          <w:bCs/>
          <w:color w:val="010101"/>
          <w:sz w:val="20"/>
          <w:szCs w:val="20"/>
        </w:rPr>
        <w:t>y</w:t>
      </w:r>
      <w:r w:rsidR="00377FBA">
        <w:rPr>
          <w:bCs/>
          <w:color w:val="010101"/>
          <w:sz w:val="20"/>
          <w:szCs w:val="20"/>
        </w:rPr>
        <w:t xml:space="preserve"> 3</w:t>
      </w:r>
      <w:r w:rsidR="008B5949">
        <w:rPr>
          <w:bCs/>
          <w:color w:val="010101"/>
          <w:sz w:val="20"/>
          <w:szCs w:val="20"/>
        </w:rPr>
        <w:t>(d)</w:t>
      </w:r>
      <w:r w:rsidR="00377FBA">
        <w:rPr>
          <w:bCs/>
          <w:color w:val="010101"/>
          <w:sz w:val="20"/>
          <w:szCs w:val="20"/>
        </w:rPr>
        <w:t xml:space="preserve"> below </w:t>
      </w:r>
      <w:r w:rsidR="00D920B0" w:rsidRPr="00D141B3">
        <w:rPr>
          <w:bCs/>
          <w:color w:val="010101"/>
          <w:sz w:val="20"/>
          <w:szCs w:val="20"/>
        </w:rPr>
        <w:t>will be selected at random</w:t>
      </w:r>
      <w:r w:rsidR="00992D25" w:rsidRPr="00D141B3">
        <w:rPr>
          <w:bCs/>
          <w:color w:val="010101"/>
          <w:sz w:val="20"/>
          <w:szCs w:val="20"/>
        </w:rPr>
        <w:t xml:space="preserve">.  </w:t>
      </w:r>
      <w:r w:rsidR="00377FBA">
        <w:rPr>
          <w:bCs/>
          <w:color w:val="010101"/>
          <w:sz w:val="20"/>
          <w:szCs w:val="20"/>
        </w:rPr>
        <w:t>Category 3</w:t>
      </w:r>
      <w:r w:rsidR="008B5949">
        <w:rPr>
          <w:bCs/>
          <w:color w:val="010101"/>
          <w:sz w:val="20"/>
          <w:szCs w:val="20"/>
        </w:rPr>
        <w:t>(</w:t>
      </w:r>
      <w:r w:rsidR="00911741">
        <w:rPr>
          <w:bCs/>
          <w:color w:val="010101"/>
          <w:sz w:val="20"/>
          <w:szCs w:val="20"/>
        </w:rPr>
        <w:t>e</w:t>
      </w:r>
      <w:r w:rsidR="008B5949">
        <w:rPr>
          <w:bCs/>
          <w:color w:val="010101"/>
          <w:sz w:val="20"/>
          <w:szCs w:val="20"/>
        </w:rPr>
        <w:t>)</w:t>
      </w:r>
      <w:r w:rsidR="00377FBA">
        <w:rPr>
          <w:bCs/>
          <w:color w:val="010101"/>
          <w:sz w:val="20"/>
          <w:szCs w:val="20"/>
        </w:rPr>
        <w:t xml:space="preserve"> will be conducted as directed by the Board. </w:t>
      </w:r>
    </w:p>
    <w:p w14:paraId="784B427C" w14:textId="7A42850E" w:rsidR="00D920B0" w:rsidRDefault="00D920B0">
      <w:pPr>
        <w:spacing w:line="321" w:lineRule="auto"/>
        <w:ind w:left="840" w:firstLine="4"/>
        <w:rPr>
          <w:bCs/>
          <w:color w:val="010101"/>
          <w:sz w:val="19"/>
        </w:rPr>
      </w:pPr>
    </w:p>
    <w:p w14:paraId="0217D357" w14:textId="3260F5B8" w:rsidR="00D920B0" w:rsidRPr="001F33AD" w:rsidRDefault="00D920B0" w:rsidP="00D920B0">
      <w:pPr>
        <w:pStyle w:val="Heading2"/>
        <w:numPr>
          <w:ilvl w:val="0"/>
          <w:numId w:val="2"/>
        </w:numPr>
        <w:tabs>
          <w:tab w:val="left" w:pos="843"/>
          <w:tab w:val="left" w:pos="844"/>
        </w:tabs>
      </w:pPr>
      <w:r>
        <w:rPr>
          <w:color w:val="010101"/>
        </w:rPr>
        <w:t>Procedures</w:t>
      </w:r>
    </w:p>
    <w:p w14:paraId="4CBF5781" w14:textId="638CCA86" w:rsidR="001F33AD" w:rsidRDefault="001F33AD" w:rsidP="001F33AD">
      <w:pPr>
        <w:pStyle w:val="Heading2"/>
        <w:tabs>
          <w:tab w:val="left" w:pos="843"/>
          <w:tab w:val="left" w:pos="844"/>
        </w:tabs>
        <w:rPr>
          <w:color w:val="010101"/>
        </w:rPr>
      </w:pPr>
    </w:p>
    <w:p w14:paraId="4C2C0ABD" w14:textId="08FEB875" w:rsidR="006A60AD" w:rsidRPr="00D141B3" w:rsidRDefault="001F33AD" w:rsidP="001F33AD">
      <w:pPr>
        <w:pStyle w:val="Heading2"/>
        <w:tabs>
          <w:tab w:val="left" w:pos="843"/>
          <w:tab w:val="left" w:pos="844"/>
        </w:tabs>
        <w:rPr>
          <w:b w:val="0"/>
          <w:bCs w:val="0"/>
          <w:color w:val="010101"/>
          <w:sz w:val="20"/>
          <w:szCs w:val="20"/>
        </w:rPr>
      </w:pPr>
      <w:r>
        <w:rPr>
          <w:color w:val="010101"/>
        </w:rPr>
        <w:tab/>
      </w:r>
      <w:r w:rsidRPr="00D141B3">
        <w:rPr>
          <w:b w:val="0"/>
          <w:bCs w:val="0"/>
          <w:color w:val="010101"/>
          <w:sz w:val="20"/>
          <w:szCs w:val="20"/>
        </w:rPr>
        <w:t xml:space="preserve">Upon selection, the IRB will notify the </w:t>
      </w:r>
      <w:r w:rsidR="006A60AD" w:rsidRPr="00D141B3">
        <w:rPr>
          <w:b w:val="0"/>
          <w:bCs w:val="0"/>
          <w:color w:val="010101"/>
          <w:sz w:val="20"/>
          <w:szCs w:val="20"/>
        </w:rPr>
        <w:t>Primary Investigator (</w:t>
      </w:r>
      <w:r w:rsidRPr="00D141B3">
        <w:rPr>
          <w:b w:val="0"/>
          <w:bCs w:val="0"/>
          <w:color w:val="010101"/>
          <w:sz w:val="20"/>
          <w:szCs w:val="20"/>
        </w:rPr>
        <w:t>PI</w:t>
      </w:r>
      <w:r w:rsidR="006A60AD" w:rsidRPr="00D141B3">
        <w:rPr>
          <w:b w:val="0"/>
          <w:bCs w:val="0"/>
          <w:color w:val="010101"/>
          <w:sz w:val="20"/>
          <w:szCs w:val="20"/>
        </w:rPr>
        <w:t>)</w:t>
      </w:r>
      <w:r w:rsidRPr="00D141B3">
        <w:rPr>
          <w:b w:val="0"/>
          <w:bCs w:val="0"/>
          <w:color w:val="010101"/>
          <w:sz w:val="20"/>
          <w:szCs w:val="20"/>
        </w:rPr>
        <w:t xml:space="preserve"> of the selection of their protocol for Post Approval </w:t>
      </w:r>
      <w:r w:rsidR="006A60AD" w:rsidRPr="00D141B3">
        <w:rPr>
          <w:b w:val="0"/>
          <w:bCs w:val="0"/>
          <w:color w:val="010101"/>
          <w:sz w:val="20"/>
          <w:szCs w:val="20"/>
        </w:rPr>
        <w:t>Monitoring, provide</w:t>
      </w:r>
      <w:r w:rsidRPr="00D141B3">
        <w:rPr>
          <w:b w:val="0"/>
          <w:bCs w:val="0"/>
          <w:color w:val="010101"/>
          <w:sz w:val="20"/>
          <w:szCs w:val="20"/>
        </w:rPr>
        <w:t xml:space="preserve"> a timeline for completion of the activities, and as needed, request access to documents, staff, research records, or other relevant information</w:t>
      </w:r>
      <w:r w:rsidR="00D141B3" w:rsidRPr="00D141B3">
        <w:rPr>
          <w:b w:val="0"/>
          <w:bCs w:val="0"/>
          <w:color w:val="010101"/>
          <w:sz w:val="20"/>
          <w:szCs w:val="20"/>
        </w:rPr>
        <w:t xml:space="preserve"> to be provided in a reasonable times and manner</w:t>
      </w:r>
      <w:r w:rsidRPr="00D141B3">
        <w:rPr>
          <w:b w:val="0"/>
          <w:bCs w:val="0"/>
          <w:color w:val="010101"/>
          <w:sz w:val="20"/>
          <w:szCs w:val="20"/>
        </w:rPr>
        <w:t xml:space="preserve">. If there is no response by the PI, this would be considered non-compliance and can result in closure of the protocol, a full </w:t>
      </w:r>
      <w:r w:rsidR="001A3459">
        <w:rPr>
          <w:b w:val="0"/>
          <w:bCs w:val="0"/>
          <w:color w:val="010101"/>
          <w:sz w:val="20"/>
          <w:szCs w:val="20"/>
        </w:rPr>
        <w:t>assessment</w:t>
      </w:r>
      <w:r w:rsidRPr="00D141B3">
        <w:rPr>
          <w:b w:val="0"/>
          <w:bCs w:val="0"/>
          <w:color w:val="010101"/>
          <w:sz w:val="20"/>
          <w:szCs w:val="20"/>
        </w:rPr>
        <w:t xml:space="preserve">, a processing hold on future submissions, or </w:t>
      </w:r>
      <w:r w:rsidR="00DB2D11" w:rsidRPr="00D141B3">
        <w:rPr>
          <w:b w:val="0"/>
          <w:bCs w:val="0"/>
          <w:color w:val="010101"/>
          <w:sz w:val="20"/>
          <w:szCs w:val="20"/>
        </w:rPr>
        <w:t>escalation</w:t>
      </w:r>
      <w:r w:rsidRPr="00D141B3">
        <w:rPr>
          <w:b w:val="0"/>
          <w:bCs w:val="0"/>
          <w:color w:val="010101"/>
          <w:sz w:val="20"/>
          <w:szCs w:val="20"/>
        </w:rPr>
        <w:t>.</w:t>
      </w:r>
    </w:p>
    <w:p w14:paraId="5E19F018" w14:textId="77777777" w:rsidR="006A60AD" w:rsidRDefault="006A60AD" w:rsidP="001F33AD">
      <w:pPr>
        <w:pStyle w:val="Heading2"/>
        <w:tabs>
          <w:tab w:val="left" w:pos="843"/>
          <w:tab w:val="left" w:pos="844"/>
        </w:tabs>
        <w:rPr>
          <w:b w:val="0"/>
          <w:bCs w:val="0"/>
          <w:color w:val="010101"/>
        </w:rPr>
      </w:pPr>
    </w:p>
    <w:p w14:paraId="32D523FA" w14:textId="1A247D24" w:rsidR="006A60AD" w:rsidRDefault="006A60AD" w:rsidP="001F33AD">
      <w:pPr>
        <w:pStyle w:val="Heading2"/>
        <w:tabs>
          <w:tab w:val="left" w:pos="843"/>
          <w:tab w:val="left" w:pos="844"/>
        </w:tabs>
        <w:rPr>
          <w:b w:val="0"/>
          <w:bCs w:val="0"/>
          <w:color w:val="010101"/>
        </w:rPr>
      </w:pPr>
      <w:r>
        <w:rPr>
          <w:b w:val="0"/>
          <w:bCs w:val="0"/>
          <w:color w:val="010101"/>
        </w:rPr>
        <w:tab/>
      </w:r>
    </w:p>
    <w:p w14:paraId="0DA32C70" w14:textId="47EC7B9C" w:rsidR="00DB2D11" w:rsidRDefault="00DB2D11" w:rsidP="001F33AD">
      <w:pPr>
        <w:pStyle w:val="Heading2"/>
        <w:tabs>
          <w:tab w:val="left" w:pos="843"/>
          <w:tab w:val="left" w:pos="844"/>
        </w:tabs>
        <w:rPr>
          <w:b w:val="0"/>
          <w:bCs w:val="0"/>
          <w:color w:val="010101"/>
        </w:rPr>
      </w:pPr>
    </w:p>
    <w:p w14:paraId="564EEEFB" w14:textId="2690393E" w:rsidR="00DB2D11" w:rsidRPr="00DB2D11" w:rsidRDefault="00DB2D11" w:rsidP="001F33AD">
      <w:pPr>
        <w:pStyle w:val="Heading2"/>
        <w:tabs>
          <w:tab w:val="left" w:pos="843"/>
          <w:tab w:val="left" w:pos="844"/>
        </w:tabs>
        <w:rPr>
          <w:color w:val="010101"/>
        </w:rPr>
      </w:pPr>
      <w:r w:rsidRPr="00DB2D11">
        <w:rPr>
          <w:color w:val="010101"/>
        </w:rPr>
        <w:t>3</w:t>
      </w:r>
      <w:r w:rsidRPr="00DB2D11">
        <w:rPr>
          <w:color w:val="010101"/>
        </w:rPr>
        <w:tab/>
        <w:t>Methods</w:t>
      </w:r>
    </w:p>
    <w:p w14:paraId="538FC09E" w14:textId="77777777" w:rsidR="001F33AD" w:rsidRDefault="001F33AD" w:rsidP="001F33AD">
      <w:pPr>
        <w:pStyle w:val="Heading2"/>
        <w:tabs>
          <w:tab w:val="left" w:pos="843"/>
          <w:tab w:val="left" w:pos="844"/>
        </w:tabs>
      </w:pPr>
    </w:p>
    <w:p w14:paraId="67136173" w14:textId="77777777" w:rsidR="00D920B0" w:rsidRDefault="00D920B0" w:rsidP="00D920B0">
      <w:pPr>
        <w:pStyle w:val="BodyText"/>
        <w:spacing w:before="10"/>
        <w:rPr>
          <w:b/>
        </w:rPr>
      </w:pPr>
    </w:p>
    <w:p w14:paraId="4F5AB6A4" w14:textId="150DC316" w:rsidR="007F4A5A" w:rsidRDefault="00D920B0" w:rsidP="007F4A5A">
      <w:pPr>
        <w:pStyle w:val="ListParagraph"/>
        <w:numPr>
          <w:ilvl w:val="0"/>
          <w:numId w:val="4"/>
        </w:numPr>
        <w:spacing w:line="321" w:lineRule="auto"/>
        <w:rPr>
          <w:b/>
          <w:color w:val="010101"/>
          <w:sz w:val="19"/>
        </w:rPr>
      </w:pPr>
      <w:r>
        <w:rPr>
          <w:b/>
          <w:color w:val="010101"/>
          <w:sz w:val="19"/>
        </w:rPr>
        <w:t>Continuing Review</w:t>
      </w:r>
    </w:p>
    <w:p w14:paraId="6184CCA3" w14:textId="082311C8" w:rsidR="007F4A5A" w:rsidRPr="00D141B3" w:rsidRDefault="007F4A5A" w:rsidP="007F4A5A">
      <w:pPr>
        <w:spacing w:line="321" w:lineRule="auto"/>
        <w:ind w:left="1080"/>
        <w:rPr>
          <w:bCs/>
          <w:color w:val="010101"/>
          <w:sz w:val="20"/>
          <w:szCs w:val="20"/>
        </w:rPr>
      </w:pPr>
      <w:r w:rsidRPr="00D141B3">
        <w:rPr>
          <w:bCs/>
          <w:color w:val="010101"/>
          <w:sz w:val="20"/>
          <w:szCs w:val="20"/>
        </w:rPr>
        <w:t xml:space="preserve">Continuing Review is conducted annually (or earlier as directed by the Board) for Full Board protocols and Expedited protocols approved prior to January 20, 2019.  </w:t>
      </w:r>
      <w:r w:rsidR="00992D25" w:rsidRPr="00D141B3">
        <w:rPr>
          <w:bCs/>
          <w:color w:val="010101"/>
          <w:sz w:val="20"/>
          <w:szCs w:val="20"/>
        </w:rPr>
        <w:t xml:space="preserve">The PI is required to submit an annual report.  Failure to do so results in automatic closure of the protocol. </w:t>
      </w:r>
    </w:p>
    <w:p w14:paraId="5D00A822" w14:textId="77777777" w:rsidR="007F4A5A" w:rsidRPr="007F4A5A" w:rsidRDefault="007F4A5A" w:rsidP="007F4A5A">
      <w:pPr>
        <w:spacing w:line="321" w:lineRule="auto"/>
        <w:ind w:left="1080"/>
        <w:rPr>
          <w:bCs/>
          <w:color w:val="010101"/>
          <w:sz w:val="19"/>
        </w:rPr>
      </w:pPr>
    </w:p>
    <w:p w14:paraId="10BF2EA4" w14:textId="7D3F02E1" w:rsidR="00D920B0" w:rsidRDefault="00D920B0" w:rsidP="00D920B0">
      <w:pPr>
        <w:pStyle w:val="ListParagraph"/>
        <w:numPr>
          <w:ilvl w:val="0"/>
          <w:numId w:val="4"/>
        </w:numPr>
        <w:spacing w:line="321" w:lineRule="auto"/>
        <w:rPr>
          <w:b/>
          <w:color w:val="010101"/>
          <w:sz w:val="19"/>
        </w:rPr>
      </w:pPr>
      <w:r>
        <w:rPr>
          <w:b/>
          <w:color w:val="010101"/>
          <w:sz w:val="19"/>
        </w:rPr>
        <w:t>Status Check</w:t>
      </w:r>
    </w:p>
    <w:p w14:paraId="0F08F97D" w14:textId="21309795" w:rsidR="007F4A5A" w:rsidRPr="00D141B3" w:rsidRDefault="007F4A5A" w:rsidP="007F4A5A">
      <w:pPr>
        <w:spacing w:line="321" w:lineRule="auto"/>
        <w:ind w:left="1080"/>
        <w:rPr>
          <w:bCs/>
          <w:color w:val="010101"/>
          <w:sz w:val="20"/>
          <w:szCs w:val="20"/>
        </w:rPr>
      </w:pPr>
      <w:r w:rsidRPr="00D141B3">
        <w:rPr>
          <w:bCs/>
          <w:color w:val="010101"/>
          <w:sz w:val="20"/>
          <w:szCs w:val="20"/>
        </w:rPr>
        <w:t xml:space="preserve">Status Checks are conducted annually for Expedited protocols </w:t>
      </w:r>
      <w:r w:rsidR="00E55986" w:rsidRPr="00D141B3">
        <w:rPr>
          <w:bCs/>
          <w:color w:val="010101"/>
          <w:sz w:val="20"/>
          <w:szCs w:val="20"/>
        </w:rPr>
        <w:t xml:space="preserve">approved after January 20, 2019. </w:t>
      </w:r>
      <w:r w:rsidR="00992D25" w:rsidRPr="00D141B3">
        <w:rPr>
          <w:bCs/>
          <w:color w:val="010101"/>
          <w:sz w:val="20"/>
          <w:szCs w:val="20"/>
        </w:rPr>
        <w:t xml:space="preserve">The PI is requested to send an annual report. </w:t>
      </w:r>
    </w:p>
    <w:p w14:paraId="1A5F7347" w14:textId="77777777" w:rsidR="00E55986" w:rsidRPr="007F4A5A" w:rsidRDefault="00E55986" w:rsidP="007F4A5A">
      <w:pPr>
        <w:spacing w:line="321" w:lineRule="auto"/>
        <w:ind w:left="1080"/>
        <w:rPr>
          <w:b/>
          <w:color w:val="010101"/>
          <w:sz w:val="19"/>
        </w:rPr>
      </w:pPr>
    </w:p>
    <w:p w14:paraId="1A18D71C" w14:textId="5AD62263" w:rsidR="00D920B0" w:rsidRDefault="00D920B0" w:rsidP="00D920B0">
      <w:pPr>
        <w:pStyle w:val="ListParagraph"/>
        <w:numPr>
          <w:ilvl w:val="0"/>
          <w:numId w:val="4"/>
        </w:numPr>
        <w:spacing w:line="321" w:lineRule="auto"/>
        <w:rPr>
          <w:b/>
          <w:color w:val="010101"/>
          <w:sz w:val="19"/>
        </w:rPr>
      </w:pPr>
      <w:r>
        <w:rPr>
          <w:b/>
          <w:color w:val="010101"/>
          <w:sz w:val="19"/>
        </w:rPr>
        <w:t>Self-Assessment requested by IRB</w:t>
      </w:r>
    </w:p>
    <w:p w14:paraId="1531537A" w14:textId="7D3A23EF" w:rsidR="00E55986" w:rsidRPr="00D141B3" w:rsidRDefault="00E55986" w:rsidP="00E55986">
      <w:pPr>
        <w:spacing w:line="321" w:lineRule="auto"/>
        <w:ind w:left="1080"/>
        <w:rPr>
          <w:bCs/>
          <w:color w:val="010101"/>
          <w:sz w:val="20"/>
          <w:szCs w:val="20"/>
        </w:rPr>
      </w:pPr>
      <w:r w:rsidRPr="00D141B3">
        <w:rPr>
          <w:bCs/>
          <w:color w:val="010101"/>
          <w:sz w:val="20"/>
          <w:szCs w:val="20"/>
        </w:rPr>
        <w:t xml:space="preserve">Self-Assessments that are requested are conducted by random selection from Exempt, Expedited, and Full Board protocols.  These will consist of a worksheet and request for </w:t>
      </w:r>
      <w:r w:rsidR="00911741">
        <w:rPr>
          <w:bCs/>
          <w:color w:val="010101"/>
          <w:sz w:val="20"/>
          <w:szCs w:val="20"/>
        </w:rPr>
        <w:t xml:space="preserve">the most recent consent </w:t>
      </w:r>
      <w:r w:rsidRPr="00D141B3">
        <w:rPr>
          <w:bCs/>
          <w:color w:val="010101"/>
          <w:sz w:val="20"/>
          <w:szCs w:val="20"/>
        </w:rPr>
        <w:t xml:space="preserve">documents. </w:t>
      </w:r>
    </w:p>
    <w:p w14:paraId="386543D8" w14:textId="77777777" w:rsidR="00E55986" w:rsidRPr="00E55986" w:rsidRDefault="00E55986" w:rsidP="00E55986">
      <w:pPr>
        <w:spacing w:line="321" w:lineRule="auto"/>
        <w:ind w:left="720"/>
        <w:rPr>
          <w:bCs/>
          <w:color w:val="010101"/>
          <w:sz w:val="19"/>
        </w:rPr>
      </w:pPr>
    </w:p>
    <w:p w14:paraId="71F293D1" w14:textId="2D0B5016" w:rsidR="00D920B0" w:rsidRDefault="00D920B0" w:rsidP="00D920B0">
      <w:pPr>
        <w:pStyle w:val="ListParagraph"/>
        <w:numPr>
          <w:ilvl w:val="0"/>
          <w:numId w:val="4"/>
        </w:numPr>
        <w:spacing w:line="321" w:lineRule="auto"/>
        <w:rPr>
          <w:b/>
          <w:color w:val="010101"/>
          <w:sz w:val="19"/>
        </w:rPr>
      </w:pPr>
      <w:r>
        <w:rPr>
          <w:b/>
          <w:color w:val="010101"/>
          <w:sz w:val="19"/>
        </w:rPr>
        <w:lastRenderedPageBreak/>
        <w:t>Informed Consent Process Assessment/Observation</w:t>
      </w:r>
    </w:p>
    <w:p w14:paraId="4A12A447" w14:textId="140B6B31" w:rsidR="00E55986" w:rsidRPr="00D141B3" w:rsidRDefault="00E55986" w:rsidP="00DF7AF4">
      <w:pPr>
        <w:pStyle w:val="ListParagraph"/>
        <w:spacing w:line="321" w:lineRule="auto"/>
        <w:ind w:left="1080" w:firstLine="0"/>
        <w:rPr>
          <w:b/>
          <w:color w:val="010101"/>
          <w:sz w:val="20"/>
          <w:szCs w:val="20"/>
        </w:rPr>
      </w:pPr>
      <w:r w:rsidRPr="00D141B3">
        <w:rPr>
          <w:bCs/>
          <w:color w:val="010101"/>
          <w:sz w:val="20"/>
          <w:szCs w:val="20"/>
        </w:rPr>
        <w:t xml:space="preserve">Informed consent document assessments are conducted by random selection from Exempt, Expedited, and Full Board protocols.  These will consist of a request for documents and a re-review of the documents to ensure the most recently approved versions are being used. </w:t>
      </w:r>
      <w:r w:rsidR="00DF7AF4" w:rsidRPr="00D141B3">
        <w:rPr>
          <w:bCs/>
          <w:color w:val="010101"/>
          <w:sz w:val="20"/>
          <w:szCs w:val="20"/>
        </w:rPr>
        <w:t xml:space="preserve"> ORA staff will also observe the consent process with one or more research participants and may check all consent documents for completion. A worksheet may also be used. </w:t>
      </w:r>
    </w:p>
    <w:p w14:paraId="307BAE2A" w14:textId="77777777" w:rsidR="00E55986" w:rsidRPr="00E55986" w:rsidRDefault="00E55986" w:rsidP="00E55986">
      <w:pPr>
        <w:spacing w:line="321" w:lineRule="auto"/>
        <w:rPr>
          <w:b/>
          <w:color w:val="010101"/>
          <w:sz w:val="19"/>
        </w:rPr>
      </w:pPr>
    </w:p>
    <w:p w14:paraId="182C80AA" w14:textId="51588475" w:rsidR="00D920B0" w:rsidRDefault="00D920B0" w:rsidP="00D920B0">
      <w:pPr>
        <w:pStyle w:val="ListParagraph"/>
        <w:numPr>
          <w:ilvl w:val="0"/>
          <w:numId w:val="4"/>
        </w:numPr>
        <w:spacing w:line="321" w:lineRule="auto"/>
        <w:rPr>
          <w:b/>
          <w:color w:val="010101"/>
          <w:sz w:val="19"/>
        </w:rPr>
      </w:pPr>
      <w:r>
        <w:rPr>
          <w:b/>
          <w:color w:val="010101"/>
          <w:sz w:val="19"/>
        </w:rPr>
        <w:t>Full Assessment</w:t>
      </w:r>
    </w:p>
    <w:p w14:paraId="2F05F730" w14:textId="74729D2E" w:rsidR="00DF7AF4" w:rsidRPr="00D141B3" w:rsidRDefault="00FE1A5B" w:rsidP="00DF7AF4">
      <w:pPr>
        <w:pStyle w:val="ListParagraph"/>
        <w:spacing w:line="321" w:lineRule="auto"/>
        <w:ind w:left="1080" w:firstLine="0"/>
        <w:rPr>
          <w:b/>
          <w:color w:val="010101"/>
          <w:sz w:val="20"/>
          <w:szCs w:val="20"/>
        </w:rPr>
      </w:pPr>
      <w:r w:rsidRPr="00D141B3">
        <w:rPr>
          <w:bCs/>
          <w:color w:val="010101"/>
          <w:sz w:val="20"/>
          <w:szCs w:val="20"/>
        </w:rPr>
        <w:t>Full assessments</w:t>
      </w:r>
      <w:r w:rsidR="00DF7AF4" w:rsidRPr="00D141B3">
        <w:rPr>
          <w:bCs/>
          <w:color w:val="010101"/>
          <w:sz w:val="20"/>
          <w:szCs w:val="20"/>
        </w:rPr>
        <w:t xml:space="preserve"> are conducted </w:t>
      </w:r>
      <w:r w:rsidR="007D2841">
        <w:rPr>
          <w:bCs/>
          <w:color w:val="010101"/>
          <w:sz w:val="20"/>
          <w:szCs w:val="20"/>
        </w:rPr>
        <w:t>for cause by</w:t>
      </w:r>
      <w:r w:rsidR="00DF7AF4" w:rsidRPr="00D141B3">
        <w:rPr>
          <w:bCs/>
          <w:color w:val="010101"/>
          <w:sz w:val="20"/>
          <w:szCs w:val="20"/>
        </w:rPr>
        <w:t xml:space="preserve"> selection from Exempt, Expedited, and Full Board protocols</w:t>
      </w:r>
      <w:r w:rsidR="001A3459">
        <w:rPr>
          <w:bCs/>
          <w:color w:val="010101"/>
          <w:sz w:val="20"/>
          <w:szCs w:val="20"/>
        </w:rPr>
        <w:t xml:space="preserve"> upon direction from a quorum of the Institutional Review Board</w:t>
      </w:r>
      <w:r w:rsidR="00DF7AF4" w:rsidRPr="00D141B3">
        <w:rPr>
          <w:bCs/>
          <w:color w:val="010101"/>
          <w:sz w:val="20"/>
          <w:szCs w:val="20"/>
        </w:rPr>
        <w:t xml:space="preserve">.  These </w:t>
      </w:r>
      <w:r w:rsidR="001A3459">
        <w:rPr>
          <w:bCs/>
          <w:color w:val="010101"/>
          <w:sz w:val="20"/>
          <w:szCs w:val="20"/>
        </w:rPr>
        <w:t xml:space="preserve">assessments </w:t>
      </w:r>
      <w:r w:rsidR="00DF7AF4" w:rsidRPr="00D141B3">
        <w:rPr>
          <w:bCs/>
          <w:color w:val="010101"/>
          <w:sz w:val="20"/>
          <w:szCs w:val="20"/>
        </w:rPr>
        <w:t xml:space="preserve">will consist of a request for documents and a re-review of the documents to ensure the most recently approved versions are being used.  ORA staff will also observe the consent process with one or more research participants and may check all consent </w:t>
      </w:r>
      <w:r w:rsidRPr="00D141B3">
        <w:rPr>
          <w:bCs/>
          <w:color w:val="010101"/>
          <w:sz w:val="20"/>
          <w:szCs w:val="20"/>
        </w:rPr>
        <w:t xml:space="preserve">and research </w:t>
      </w:r>
      <w:r w:rsidR="00DF7AF4" w:rsidRPr="00D141B3">
        <w:rPr>
          <w:bCs/>
          <w:color w:val="010101"/>
          <w:sz w:val="20"/>
          <w:szCs w:val="20"/>
        </w:rPr>
        <w:t xml:space="preserve">documents </w:t>
      </w:r>
      <w:r w:rsidRPr="00D141B3">
        <w:rPr>
          <w:bCs/>
          <w:color w:val="010101"/>
          <w:sz w:val="20"/>
          <w:szCs w:val="20"/>
        </w:rPr>
        <w:t xml:space="preserve">and records </w:t>
      </w:r>
      <w:r w:rsidR="00DF7AF4" w:rsidRPr="00D141B3">
        <w:rPr>
          <w:bCs/>
          <w:color w:val="010101"/>
          <w:sz w:val="20"/>
          <w:szCs w:val="20"/>
        </w:rPr>
        <w:t xml:space="preserve">for completion. </w:t>
      </w:r>
      <w:r w:rsidR="00992D25" w:rsidRPr="00D141B3">
        <w:rPr>
          <w:bCs/>
          <w:color w:val="010101"/>
          <w:sz w:val="20"/>
          <w:szCs w:val="20"/>
        </w:rPr>
        <w:t xml:space="preserve">Lab or site visits may be included.  </w:t>
      </w:r>
      <w:r w:rsidR="00DF7AF4" w:rsidRPr="00D141B3">
        <w:rPr>
          <w:bCs/>
          <w:color w:val="010101"/>
          <w:sz w:val="20"/>
          <w:szCs w:val="20"/>
        </w:rPr>
        <w:t xml:space="preserve">A worksheet may also be used. </w:t>
      </w:r>
    </w:p>
    <w:p w14:paraId="46931F1E" w14:textId="151D8AE2" w:rsidR="00D141B3" w:rsidRDefault="00D141B3" w:rsidP="00D141B3">
      <w:pPr>
        <w:spacing w:line="321" w:lineRule="auto"/>
        <w:rPr>
          <w:b/>
          <w:color w:val="010101"/>
          <w:sz w:val="19"/>
        </w:rPr>
      </w:pPr>
    </w:p>
    <w:p w14:paraId="2965B06F" w14:textId="12272AD1" w:rsidR="00D141B3" w:rsidRPr="00D141B3" w:rsidRDefault="00D141B3" w:rsidP="00D141B3">
      <w:pPr>
        <w:pStyle w:val="ListParagraph"/>
        <w:numPr>
          <w:ilvl w:val="0"/>
          <w:numId w:val="5"/>
        </w:numPr>
        <w:spacing w:line="321" w:lineRule="auto"/>
        <w:rPr>
          <w:b/>
          <w:color w:val="010101"/>
          <w:sz w:val="19"/>
        </w:rPr>
      </w:pPr>
      <w:r w:rsidRPr="00D141B3">
        <w:rPr>
          <w:b/>
          <w:color w:val="010101"/>
          <w:sz w:val="19"/>
        </w:rPr>
        <w:t>Results</w:t>
      </w:r>
    </w:p>
    <w:p w14:paraId="346EF490" w14:textId="77777777" w:rsidR="00D141B3" w:rsidRDefault="00D141B3" w:rsidP="00D141B3">
      <w:pPr>
        <w:pStyle w:val="ListParagraph"/>
        <w:spacing w:line="321" w:lineRule="auto"/>
        <w:ind w:left="843" w:firstLine="0"/>
        <w:rPr>
          <w:color w:val="010101"/>
          <w:sz w:val="20"/>
          <w:szCs w:val="20"/>
        </w:rPr>
      </w:pPr>
    </w:p>
    <w:p w14:paraId="2B750BAA" w14:textId="77777777" w:rsidR="00D141B3" w:rsidRPr="00962458" w:rsidRDefault="00D141B3" w:rsidP="00D141B3">
      <w:pPr>
        <w:pStyle w:val="ListParagraph"/>
        <w:numPr>
          <w:ilvl w:val="0"/>
          <w:numId w:val="6"/>
        </w:numPr>
        <w:spacing w:line="321" w:lineRule="auto"/>
        <w:rPr>
          <w:b/>
          <w:bCs/>
          <w:color w:val="010101"/>
          <w:sz w:val="20"/>
          <w:szCs w:val="20"/>
        </w:rPr>
      </w:pPr>
      <w:r w:rsidRPr="00962458">
        <w:rPr>
          <w:b/>
          <w:bCs/>
          <w:color w:val="010101"/>
          <w:sz w:val="20"/>
          <w:szCs w:val="20"/>
        </w:rPr>
        <w:t>Corrective Action</w:t>
      </w:r>
    </w:p>
    <w:p w14:paraId="2DB54764" w14:textId="03508929" w:rsidR="00D141B3" w:rsidRDefault="00D141B3" w:rsidP="00D141B3">
      <w:pPr>
        <w:pStyle w:val="ListParagraph"/>
        <w:spacing w:line="321" w:lineRule="auto"/>
        <w:ind w:left="1203" w:firstLine="0"/>
        <w:rPr>
          <w:color w:val="010101"/>
          <w:sz w:val="20"/>
          <w:szCs w:val="20"/>
        </w:rPr>
      </w:pPr>
      <w:r w:rsidRPr="00D141B3">
        <w:rPr>
          <w:color w:val="010101"/>
          <w:sz w:val="20"/>
          <w:szCs w:val="20"/>
        </w:rPr>
        <w:t>If reportable events or unanticipated problems are discovered, the PI will be required to submit a report to the IRB.  If compliance issues are identified, the ORA staff will consult with the IRB Chair and Director to determine appropriate action.</w:t>
      </w:r>
    </w:p>
    <w:p w14:paraId="46636F6D" w14:textId="77777777" w:rsidR="00D141B3" w:rsidRDefault="00D141B3" w:rsidP="00D141B3">
      <w:pPr>
        <w:pStyle w:val="ListParagraph"/>
        <w:spacing w:line="321" w:lineRule="auto"/>
        <w:ind w:left="1203" w:firstLine="0"/>
        <w:rPr>
          <w:color w:val="010101"/>
          <w:sz w:val="20"/>
          <w:szCs w:val="20"/>
        </w:rPr>
      </w:pPr>
    </w:p>
    <w:p w14:paraId="29EDF5E4" w14:textId="77777777" w:rsidR="00D141B3" w:rsidRPr="00962458" w:rsidRDefault="00D141B3" w:rsidP="00D141B3">
      <w:pPr>
        <w:pStyle w:val="ListParagraph"/>
        <w:numPr>
          <w:ilvl w:val="0"/>
          <w:numId w:val="6"/>
        </w:numPr>
        <w:spacing w:line="321" w:lineRule="auto"/>
        <w:rPr>
          <w:b/>
          <w:bCs/>
          <w:color w:val="010101"/>
          <w:sz w:val="20"/>
          <w:szCs w:val="20"/>
        </w:rPr>
      </w:pPr>
      <w:r w:rsidRPr="00962458">
        <w:rPr>
          <w:b/>
          <w:bCs/>
          <w:color w:val="010101"/>
          <w:sz w:val="20"/>
          <w:szCs w:val="20"/>
        </w:rPr>
        <w:t>Education</w:t>
      </w:r>
    </w:p>
    <w:p w14:paraId="1778E8B2" w14:textId="61B64E7D" w:rsidR="00D141B3" w:rsidRPr="00D141B3" w:rsidRDefault="00D141B3" w:rsidP="00D141B3">
      <w:pPr>
        <w:pStyle w:val="ListParagraph"/>
        <w:spacing w:line="321" w:lineRule="auto"/>
        <w:ind w:left="1203" w:firstLine="0"/>
        <w:rPr>
          <w:color w:val="010101"/>
          <w:sz w:val="20"/>
          <w:szCs w:val="20"/>
        </w:rPr>
      </w:pPr>
      <w:r w:rsidRPr="00D141B3">
        <w:rPr>
          <w:color w:val="010101"/>
          <w:sz w:val="20"/>
          <w:szCs w:val="20"/>
        </w:rPr>
        <w:t xml:space="preserve">If an educational opportunity is identified, the ORA staff will provide education to the PI regarding needed improvements.  This can include recommendations, tools, or other guidance as to policy and regulations. ORA staff will document the outcome of PAM activities and provide a written report of the results to the IRB.  </w:t>
      </w:r>
    </w:p>
    <w:sectPr w:rsidR="00D141B3" w:rsidRPr="00D141B3">
      <w:pgSz w:w="12240" w:h="15840"/>
      <w:pgMar w:top="150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21AD7"/>
    <w:multiLevelType w:val="hybridMultilevel"/>
    <w:tmpl w:val="2DCEC264"/>
    <w:lvl w:ilvl="0" w:tplc="B516C432">
      <w:start w:val="1"/>
      <w:numFmt w:val="lowerLetter"/>
      <w:lvlText w:val="%1."/>
      <w:lvlJc w:val="left"/>
      <w:pPr>
        <w:ind w:left="1204" w:hanging="360"/>
      </w:pPr>
      <w:rPr>
        <w:rFonts w:hint="default"/>
      </w:rPr>
    </w:lvl>
    <w:lvl w:ilvl="1" w:tplc="04090019" w:tentative="1">
      <w:start w:val="1"/>
      <w:numFmt w:val="lowerLetter"/>
      <w:lvlText w:val="%2."/>
      <w:lvlJc w:val="left"/>
      <w:pPr>
        <w:ind w:left="1924" w:hanging="360"/>
      </w:pPr>
    </w:lvl>
    <w:lvl w:ilvl="2" w:tplc="0409001B" w:tentative="1">
      <w:start w:val="1"/>
      <w:numFmt w:val="lowerRoman"/>
      <w:lvlText w:val="%3."/>
      <w:lvlJc w:val="right"/>
      <w:pPr>
        <w:ind w:left="2644" w:hanging="180"/>
      </w:pPr>
    </w:lvl>
    <w:lvl w:ilvl="3" w:tplc="0409000F" w:tentative="1">
      <w:start w:val="1"/>
      <w:numFmt w:val="decimal"/>
      <w:lvlText w:val="%4."/>
      <w:lvlJc w:val="left"/>
      <w:pPr>
        <w:ind w:left="3364" w:hanging="360"/>
      </w:pPr>
    </w:lvl>
    <w:lvl w:ilvl="4" w:tplc="04090019" w:tentative="1">
      <w:start w:val="1"/>
      <w:numFmt w:val="lowerLetter"/>
      <w:lvlText w:val="%5."/>
      <w:lvlJc w:val="left"/>
      <w:pPr>
        <w:ind w:left="4084" w:hanging="360"/>
      </w:pPr>
    </w:lvl>
    <w:lvl w:ilvl="5" w:tplc="0409001B" w:tentative="1">
      <w:start w:val="1"/>
      <w:numFmt w:val="lowerRoman"/>
      <w:lvlText w:val="%6."/>
      <w:lvlJc w:val="right"/>
      <w:pPr>
        <w:ind w:left="4804" w:hanging="180"/>
      </w:pPr>
    </w:lvl>
    <w:lvl w:ilvl="6" w:tplc="0409000F" w:tentative="1">
      <w:start w:val="1"/>
      <w:numFmt w:val="decimal"/>
      <w:lvlText w:val="%7."/>
      <w:lvlJc w:val="left"/>
      <w:pPr>
        <w:ind w:left="5524" w:hanging="360"/>
      </w:pPr>
    </w:lvl>
    <w:lvl w:ilvl="7" w:tplc="04090019" w:tentative="1">
      <w:start w:val="1"/>
      <w:numFmt w:val="lowerLetter"/>
      <w:lvlText w:val="%8."/>
      <w:lvlJc w:val="left"/>
      <w:pPr>
        <w:ind w:left="6244" w:hanging="360"/>
      </w:pPr>
    </w:lvl>
    <w:lvl w:ilvl="8" w:tplc="0409001B" w:tentative="1">
      <w:start w:val="1"/>
      <w:numFmt w:val="lowerRoman"/>
      <w:lvlText w:val="%9."/>
      <w:lvlJc w:val="right"/>
      <w:pPr>
        <w:ind w:left="6964" w:hanging="180"/>
      </w:pPr>
    </w:lvl>
  </w:abstractNum>
  <w:abstractNum w:abstractNumId="1" w15:restartNumberingAfterBreak="0">
    <w:nsid w:val="1A446480"/>
    <w:multiLevelType w:val="hybridMultilevel"/>
    <w:tmpl w:val="9872BC50"/>
    <w:lvl w:ilvl="0" w:tplc="FD347D04">
      <w:numFmt w:val="bullet"/>
      <w:lvlText w:val="o"/>
      <w:lvlJc w:val="left"/>
      <w:pPr>
        <w:ind w:left="846" w:hanging="358"/>
      </w:pPr>
      <w:rPr>
        <w:rFonts w:ascii="Arial" w:eastAsia="Arial" w:hAnsi="Arial" w:cs="Arial" w:hint="default"/>
        <w:color w:val="212121"/>
        <w:w w:val="97"/>
        <w:sz w:val="19"/>
        <w:szCs w:val="19"/>
      </w:rPr>
    </w:lvl>
    <w:lvl w:ilvl="1" w:tplc="8ADEF374">
      <w:numFmt w:val="bullet"/>
      <w:lvlText w:val="•"/>
      <w:lvlJc w:val="left"/>
      <w:pPr>
        <w:ind w:left="1714" w:hanging="358"/>
      </w:pPr>
      <w:rPr>
        <w:rFonts w:hint="default"/>
      </w:rPr>
    </w:lvl>
    <w:lvl w:ilvl="2" w:tplc="58201A24">
      <w:numFmt w:val="bullet"/>
      <w:lvlText w:val="•"/>
      <w:lvlJc w:val="left"/>
      <w:pPr>
        <w:ind w:left="2588" w:hanging="358"/>
      </w:pPr>
      <w:rPr>
        <w:rFonts w:hint="default"/>
      </w:rPr>
    </w:lvl>
    <w:lvl w:ilvl="3" w:tplc="24D8B610">
      <w:numFmt w:val="bullet"/>
      <w:lvlText w:val="•"/>
      <w:lvlJc w:val="left"/>
      <w:pPr>
        <w:ind w:left="3462" w:hanging="358"/>
      </w:pPr>
      <w:rPr>
        <w:rFonts w:hint="default"/>
      </w:rPr>
    </w:lvl>
    <w:lvl w:ilvl="4" w:tplc="11B6E9F4">
      <w:numFmt w:val="bullet"/>
      <w:lvlText w:val="•"/>
      <w:lvlJc w:val="left"/>
      <w:pPr>
        <w:ind w:left="4336" w:hanging="358"/>
      </w:pPr>
      <w:rPr>
        <w:rFonts w:hint="default"/>
      </w:rPr>
    </w:lvl>
    <w:lvl w:ilvl="5" w:tplc="BC00CBC2">
      <w:numFmt w:val="bullet"/>
      <w:lvlText w:val="•"/>
      <w:lvlJc w:val="left"/>
      <w:pPr>
        <w:ind w:left="5210" w:hanging="358"/>
      </w:pPr>
      <w:rPr>
        <w:rFonts w:hint="default"/>
      </w:rPr>
    </w:lvl>
    <w:lvl w:ilvl="6" w:tplc="622ED2CA">
      <w:numFmt w:val="bullet"/>
      <w:lvlText w:val="•"/>
      <w:lvlJc w:val="left"/>
      <w:pPr>
        <w:ind w:left="6084" w:hanging="358"/>
      </w:pPr>
      <w:rPr>
        <w:rFonts w:hint="default"/>
      </w:rPr>
    </w:lvl>
    <w:lvl w:ilvl="7" w:tplc="4794454A">
      <w:numFmt w:val="bullet"/>
      <w:lvlText w:val="•"/>
      <w:lvlJc w:val="left"/>
      <w:pPr>
        <w:ind w:left="6958" w:hanging="358"/>
      </w:pPr>
      <w:rPr>
        <w:rFonts w:hint="default"/>
      </w:rPr>
    </w:lvl>
    <w:lvl w:ilvl="8" w:tplc="9468CBDE">
      <w:numFmt w:val="bullet"/>
      <w:lvlText w:val="•"/>
      <w:lvlJc w:val="left"/>
      <w:pPr>
        <w:ind w:left="7832" w:hanging="358"/>
      </w:pPr>
      <w:rPr>
        <w:rFonts w:hint="default"/>
      </w:rPr>
    </w:lvl>
  </w:abstractNum>
  <w:abstractNum w:abstractNumId="2" w15:restartNumberingAfterBreak="0">
    <w:nsid w:val="242D1447"/>
    <w:multiLevelType w:val="hybridMultilevel"/>
    <w:tmpl w:val="54CEBB28"/>
    <w:lvl w:ilvl="0" w:tplc="7A941044">
      <w:start w:val="4"/>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3A7E29E7"/>
    <w:multiLevelType w:val="hybridMultilevel"/>
    <w:tmpl w:val="8710DCB8"/>
    <w:lvl w:ilvl="0" w:tplc="E00CE2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467585"/>
    <w:multiLevelType w:val="hybridMultilevel"/>
    <w:tmpl w:val="2786AE88"/>
    <w:lvl w:ilvl="0" w:tplc="D5141022">
      <w:start w:val="1"/>
      <w:numFmt w:val="decimal"/>
      <w:lvlText w:val="%1"/>
      <w:lvlJc w:val="left"/>
      <w:pPr>
        <w:ind w:left="843" w:hanging="723"/>
        <w:jc w:val="left"/>
      </w:pPr>
      <w:rPr>
        <w:rFonts w:ascii="Arial" w:eastAsia="Arial" w:hAnsi="Arial" w:cs="Arial" w:hint="default"/>
        <w:b/>
        <w:bCs/>
        <w:color w:val="010101"/>
        <w:w w:val="99"/>
        <w:sz w:val="19"/>
        <w:szCs w:val="19"/>
      </w:rPr>
    </w:lvl>
    <w:lvl w:ilvl="1" w:tplc="5AFCDC9A">
      <w:numFmt w:val="bullet"/>
      <w:lvlText w:val="•"/>
      <w:lvlJc w:val="left"/>
      <w:pPr>
        <w:ind w:left="845" w:hanging="365"/>
      </w:pPr>
      <w:rPr>
        <w:rFonts w:ascii="Arial" w:eastAsia="Arial" w:hAnsi="Arial" w:cs="Arial" w:hint="default"/>
        <w:color w:val="010101"/>
        <w:w w:val="99"/>
        <w:sz w:val="19"/>
        <w:szCs w:val="19"/>
      </w:rPr>
    </w:lvl>
    <w:lvl w:ilvl="2" w:tplc="792A9DF8">
      <w:numFmt w:val="bullet"/>
      <w:lvlText w:val="•"/>
      <w:lvlJc w:val="left"/>
      <w:pPr>
        <w:ind w:left="2588" w:hanging="365"/>
      </w:pPr>
      <w:rPr>
        <w:rFonts w:hint="default"/>
      </w:rPr>
    </w:lvl>
    <w:lvl w:ilvl="3" w:tplc="A8380DC2">
      <w:numFmt w:val="bullet"/>
      <w:lvlText w:val="•"/>
      <w:lvlJc w:val="left"/>
      <w:pPr>
        <w:ind w:left="3462" w:hanging="365"/>
      </w:pPr>
      <w:rPr>
        <w:rFonts w:hint="default"/>
      </w:rPr>
    </w:lvl>
    <w:lvl w:ilvl="4" w:tplc="126C25FA">
      <w:numFmt w:val="bullet"/>
      <w:lvlText w:val="•"/>
      <w:lvlJc w:val="left"/>
      <w:pPr>
        <w:ind w:left="4336" w:hanging="365"/>
      </w:pPr>
      <w:rPr>
        <w:rFonts w:hint="default"/>
      </w:rPr>
    </w:lvl>
    <w:lvl w:ilvl="5" w:tplc="45425A62">
      <w:numFmt w:val="bullet"/>
      <w:lvlText w:val="•"/>
      <w:lvlJc w:val="left"/>
      <w:pPr>
        <w:ind w:left="5210" w:hanging="365"/>
      </w:pPr>
      <w:rPr>
        <w:rFonts w:hint="default"/>
      </w:rPr>
    </w:lvl>
    <w:lvl w:ilvl="6" w:tplc="FA72A2FC">
      <w:numFmt w:val="bullet"/>
      <w:lvlText w:val="•"/>
      <w:lvlJc w:val="left"/>
      <w:pPr>
        <w:ind w:left="6084" w:hanging="365"/>
      </w:pPr>
      <w:rPr>
        <w:rFonts w:hint="default"/>
      </w:rPr>
    </w:lvl>
    <w:lvl w:ilvl="7" w:tplc="50BCB712">
      <w:numFmt w:val="bullet"/>
      <w:lvlText w:val="•"/>
      <w:lvlJc w:val="left"/>
      <w:pPr>
        <w:ind w:left="6958" w:hanging="365"/>
      </w:pPr>
      <w:rPr>
        <w:rFonts w:hint="default"/>
      </w:rPr>
    </w:lvl>
    <w:lvl w:ilvl="8" w:tplc="E2C07FB0">
      <w:numFmt w:val="bullet"/>
      <w:lvlText w:val="•"/>
      <w:lvlJc w:val="left"/>
      <w:pPr>
        <w:ind w:left="7832" w:hanging="365"/>
      </w:pPr>
      <w:rPr>
        <w:rFonts w:hint="default"/>
      </w:rPr>
    </w:lvl>
  </w:abstractNum>
  <w:abstractNum w:abstractNumId="5" w15:restartNumberingAfterBreak="0">
    <w:nsid w:val="669B2080"/>
    <w:multiLevelType w:val="hybridMultilevel"/>
    <w:tmpl w:val="47F4C832"/>
    <w:lvl w:ilvl="0" w:tplc="1D9062D0">
      <w:start w:val="1"/>
      <w:numFmt w:val="lowerLetter"/>
      <w:lvlText w:val="%1."/>
      <w:lvlJc w:val="left"/>
      <w:pPr>
        <w:ind w:left="1203" w:hanging="360"/>
      </w:pPr>
      <w:rPr>
        <w:rFonts w:hint="default"/>
      </w:rPr>
    </w:lvl>
    <w:lvl w:ilvl="1" w:tplc="04090019" w:tentative="1">
      <w:start w:val="1"/>
      <w:numFmt w:val="lowerLetter"/>
      <w:lvlText w:val="%2."/>
      <w:lvlJc w:val="left"/>
      <w:pPr>
        <w:ind w:left="1923" w:hanging="360"/>
      </w:pPr>
    </w:lvl>
    <w:lvl w:ilvl="2" w:tplc="0409001B" w:tentative="1">
      <w:start w:val="1"/>
      <w:numFmt w:val="lowerRoman"/>
      <w:lvlText w:val="%3."/>
      <w:lvlJc w:val="right"/>
      <w:pPr>
        <w:ind w:left="2643" w:hanging="180"/>
      </w:pPr>
    </w:lvl>
    <w:lvl w:ilvl="3" w:tplc="0409000F" w:tentative="1">
      <w:start w:val="1"/>
      <w:numFmt w:val="decimal"/>
      <w:lvlText w:val="%4."/>
      <w:lvlJc w:val="left"/>
      <w:pPr>
        <w:ind w:left="3363" w:hanging="360"/>
      </w:pPr>
    </w:lvl>
    <w:lvl w:ilvl="4" w:tplc="04090019" w:tentative="1">
      <w:start w:val="1"/>
      <w:numFmt w:val="lowerLetter"/>
      <w:lvlText w:val="%5."/>
      <w:lvlJc w:val="left"/>
      <w:pPr>
        <w:ind w:left="4083" w:hanging="360"/>
      </w:pPr>
    </w:lvl>
    <w:lvl w:ilvl="5" w:tplc="0409001B" w:tentative="1">
      <w:start w:val="1"/>
      <w:numFmt w:val="lowerRoman"/>
      <w:lvlText w:val="%6."/>
      <w:lvlJc w:val="right"/>
      <w:pPr>
        <w:ind w:left="4803" w:hanging="180"/>
      </w:pPr>
    </w:lvl>
    <w:lvl w:ilvl="6" w:tplc="0409000F" w:tentative="1">
      <w:start w:val="1"/>
      <w:numFmt w:val="decimal"/>
      <w:lvlText w:val="%7."/>
      <w:lvlJc w:val="left"/>
      <w:pPr>
        <w:ind w:left="5523" w:hanging="360"/>
      </w:pPr>
    </w:lvl>
    <w:lvl w:ilvl="7" w:tplc="04090019" w:tentative="1">
      <w:start w:val="1"/>
      <w:numFmt w:val="lowerLetter"/>
      <w:lvlText w:val="%8."/>
      <w:lvlJc w:val="left"/>
      <w:pPr>
        <w:ind w:left="6243" w:hanging="360"/>
      </w:pPr>
    </w:lvl>
    <w:lvl w:ilvl="8" w:tplc="0409001B" w:tentative="1">
      <w:start w:val="1"/>
      <w:numFmt w:val="lowerRoman"/>
      <w:lvlText w:val="%9."/>
      <w:lvlJc w:val="right"/>
      <w:pPr>
        <w:ind w:left="6963" w:hanging="180"/>
      </w:pPr>
    </w:lvl>
  </w:abstractNum>
  <w:num w:numId="1" w16cid:durableId="1057824526">
    <w:abstractNumId w:val="1"/>
  </w:num>
  <w:num w:numId="2" w16cid:durableId="1225028447">
    <w:abstractNumId w:val="4"/>
  </w:num>
  <w:num w:numId="3" w16cid:durableId="1203595750">
    <w:abstractNumId w:val="0"/>
  </w:num>
  <w:num w:numId="4" w16cid:durableId="996415885">
    <w:abstractNumId w:val="3"/>
  </w:num>
  <w:num w:numId="5" w16cid:durableId="960459795">
    <w:abstractNumId w:val="2"/>
  </w:num>
  <w:num w:numId="6" w16cid:durableId="1341036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54D"/>
    <w:rsid w:val="001A3459"/>
    <w:rsid w:val="001F33AD"/>
    <w:rsid w:val="002563CF"/>
    <w:rsid w:val="002766FF"/>
    <w:rsid w:val="00377FBA"/>
    <w:rsid w:val="0056654D"/>
    <w:rsid w:val="006A60AD"/>
    <w:rsid w:val="007D2841"/>
    <w:rsid w:val="007F4A5A"/>
    <w:rsid w:val="00854C7F"/>
    <w:rsid w:val="008B5949"/>
    <w:rsid w:val="008F4C5F"/>
    <w:rsid w:val="00911741"/>
    <w:rsid w:val="00962458"/>
    <w:rsid w:val="009722E2"/>
    <w:rsid w:val="00984A42"/>
    <w:rsid w:val="00992D25"/>
    <w:rsid w:val="00A3303C"/>
    <w:rsid w:val="00B25CDE"/>
    <w:rsid w:val="00BD4CE7"/>
    <w:rsid w:val="00D141B3"/>
    <w:rsid w:val="00D920B0"/>
    <w:rsid w:val="00DB2D11"/>
    <w:rsid w:val="00DE515A"/>
    <w:rsid w:val="00DF7AF4"/>
    <w:rsid w:val="00E043F8"/>
    <w:rsid w:val="00E55986"/>
    <w:rsid w:val="00F11FA7"/>
    <w:rsid w:val="00FE1A5B"/>
    <w:rsid w:val="00FF3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CCEEB"/>
  <w15:docId w15:val="{D656F240-CAB8-46F8-B45E-2FAC3EA0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1"/>
      <w:ind w:left="123" w:hanging="20"/>
      <w:outlineLvl w:val="0"/>
    </w:pPr>
    <w:rPr>
      <w:b/>
      <w:bCs/>
      <w:sz w:val="27"/>
      <w:szCs w:val="27"/>
    </w:rPr>
  </w:style>
  <w:style w:type="paragraph" w:styleId="Heading2">
    <w:name w:val="heading 2"/>
    <w:basedOn w:val="Normal"/>
    <w:uiPriority w:val="9"/>
    <w:unhideWhenUsed/>
    <w:qFormat/>
    <w:pPr>
      <w:ind w:left="843" w:hanging="723"/>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845" w:hanging="364"/>
    </w:pPr>
  </w:style>
  <w:style w:type="paragraph" w:customStyle="1" w:styleId="TableParagraph">
    <w:name w:val="Table Paragraph"/>
    <w:basedOn w:val="Normal"/>
    <w:uiPriority w:val="1"/>
    <w:qFormat/>
  </w:style>
  <w:style w:type="table" w:styleId="TableGrid">
    <w:name w:val="Table Grid"/>
    <w:basedOn w:val="TableNormal"/>
    <w:uiPriority w:val="39"/>
    <w:rsid w:val="00FE1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expiration-of-protocols-procedure.pdf</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expiration-of-protocols-procedure.pdf</dc:title>
  <dc:creator>jneelon</dc:creator>
  <cp:lastModifiedBy>J Neelon</cp:lastModifiedBy>
  <cp:revision>11</cp:revision>
  <dcterms:created xsi:type="dcterms:W3CDTF">2022-07-05T16:25:00Z</dcterms:created>
  <dcterms:modified xsi:type="dcterms:W3CDTF">2022-08-09T21:14:00Z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2022-06-29T00:00:00Z</vt:filetime>
  </property>
  <property fmtid="{D5CDD505-2E9C-101B-9397-08002B2CF9AE}" pid="3" name="Creator">
    <vt:lpwstr>PScript5.dll Version 5.2.2</vt:lpwstr>
  </property>
  <property fmtid="{D5CDD505-2E9C-101B-9397-08002B2CF9AE}" pid="4" name="LastSaved">
    <vt:filetime>2022-06-29T00:00:00Z</vt:filetime>
  </property>
</Properties>
</file>